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DC19D" w14:textId="29A5C147" w:rsidR="0069039F" w:rsidRPr="0069039F" w:rsidRDefault="0069039F" w:rsidP="0069039F">
      <w:pPr>
        <w:shd w:val="clear" w:color="auto" w:fill="FFFFFF"/>
        <w:jc w:val="center"/>
        <w:rPr>
          <w:rFonts w:ascii="Times New Roman" w:eastAsia="Times New Roman" w:hAnsi="Times New Roman" w:cs="Times New Roman"/>
          <w:kern w:val="0"/>
          <w:lang w:eastAsia="en-GB"/>
          <w14:ligatures w14:val="none"/>
        </w:rPr>
      </w:pPr>
      <w:r w:rsidRPr="0069039F">
        <w:rPr>
          <w:rFonts w:ascii="Times New Roman" w:eastAsia="Times New Roman" w:hAnsi="Times New Roman" w:cs="Times New Roman"/>
          <w:kern w:val="0"/>
          <w:lang w:eastAsia="en-GB"/>
          <w14:ligatures w14:val="none"/>
        </w:rPr>
        <w:fldChar w:fldCharType="begin"/>
      </w:r>
      <w:r w:rsidRPr="0069039F">
        <w:rPr>
          <w:rFonts w:ascii="Times New Roman" w:eastAsia="Times New Roman" w:hAnsi="Times New Roman" w:cs="Times New Roman"/>
          <w:kern w:val="0"/>
          <w:lang w:eastAsia="en-GB"/>
          <w14:ligatures w14:val="none"/>
        </w:rPr>
        <w:instrText xml:space="preserve"> INCLUDEPICTURE "https://herambhaleasing.com/wp-content/uploads/2025/09/Add-a-heading-1-1024x240.png" \* MERGEFORMATINET </w:instrText>
      </w:r>
      <w:r w:rsidRPr="0069039F">
        <w:rPr>
          <w:rFonts w:ascii="Times New Roman" w:eastAsia="Times New Roman" w:hAnsi="Times New Roman" w:cs="Times New Roman"/>
          <w:kern w:val="0"/>
          <w:lang w:eastAsia="en-GB"/>
          <w14:ligatures w14:val="none"/>
        </w:rPr>
        <w:fldChar w:fldCharType="separate"/>
      </w:r>
      <w:r w:rsidRPr="0069039F">
        <w:rPr>
          <w:rFonts w:ascii="Times New Roman" w:eastAsia="Times New Roman" w:hAnsi="Times New Roman" w:cs="Times New Roman"/>
          <w:noProof/>
          <w:kern w:val="0"/>
          <w:lang w:eastAsia="en-GB"/>
          <w14:ligatures w14:val="none"/>
        </w:rPr>
        <w:drawing>
          <wp:inline distT="0" distB="0" distL="0" distR="0" wp14:anchorId="57B724BC" wp14:editId="7279119E">
            <wp:extent cx="5731510" cy="1343660"/>
            <wp:effectExtent l="0" t="0" r="0" b="0"/>
            <wp:docPr id="20661029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1343660"/>
                    </a:xfrm>
                    <a:prstGeom prst="rect">
                      <a:avLst/>
                    </a:prstGeom>
                    <a:noFill/>
                    <a:ln>
                      <a:noFill/>
                    </a:ln>
                  </pic:spPr>
                </pic:pic>
              </a:graphicData>
            </a:graphic>
          </wp:inline>
        </w:drawing>
      </w:r>
      <w:r w:rsidRPr="0069039F">
        <w:rPr>
          <w:rFonts w:ascii="Times New Roman" w:eastAsia="Times New Roman" w:hAnsi="Times New Roman" w:cs="Times New Roman"/>
          <w:kern w:val="0"/>
          <w:lang w:eastAsia="en-GB"/>
          <w14:ligatures w14:val="none"/>
        </w:rPr>
        <w:fldChar w:fldCharType="end"/>
      </w:r>
    </w:p>
    <w:p w14:paraId="420964B3" w14:textId="77777777" w:rsidR="0069039F" w:rsidRPr="0069039F" w:rsidRDefault="0069039F" w:rsidP="0069039F">
      <w:pPr>
        <w:numPr>
          <w:ilvl w:val="0"/>
          <w:numId w:val="1"/>
        </w:numPr>
        <w:shd w:val="clear" w:color="auto" w:fill="FFFFFF"/>
        <w:textAlignment w:val="baseline"/>
        <w:rPr>
          <w:rFonts w:ascii="Times New Roman" w:eastAsia="Times New Roman" w:hAnsi="Times New Roman" w:cs="Times New Roman"/>
          <w:kern w:val="0"/>
          <w:sz w:val="27"/>
          <w:szCs w:val="27"/>
          <w:lang w:eastAsia="en-GB"/>
          <w14:ligatures w14:val="none"/>
        </w:rPr>
      </w:pPr>
      <w:hyperlink r:id="rId6" w:history="1">
        <w:r w:rsidRPr="0069039F">
          <w:rPr>
            <w:rFonts w:ascii="Poppins" w:eastAsia="Times New Roman" w:hAnsi="Poppins" w:cs="Poppins"/>
            <w:color w:val="212121"/>
            <w:kern w:val="0"/>
            <w:lang w:eastAsia="en-GB"/>
            <w14:ligatures w14:val="none"/>
          </w:rPr>
          <w:t>About Us</w:t>
        </w:r>
      </w:hyperlink>
    </w:p>
    <w:p w14:paraId="7D68F780" w14:textId="77777777" w:rsidR="0069039F" w:rsidRPr="0069039F" w:rsidRDefault="0069039F" w:rsidP="0069039F">
      <w:pPr>
        <w:numPr>
          <w:ilvl w:val="0"/>
          <w:numId w:val="1"/>
        </w:numPr>
        <w:shd w:val="clear" w:color="auto" w:fill="FFFFFF"/>
        <w:textAlignment w:val="baseline"/>
        <w:rPr>
          <w:rFonts w:ascii="Times New Roman" w:eastAsia="Times New Roman" w:hAnsi="Times New Roman" w:cs="Times New Roman"/>
          <w:kern w:val="0"/>
          <w:sz w:val="27"/>
          <w:szCs w:val="27"/>
          <w:lang w:eastAsia="en-GB"/>
          <w14:ligatures w14:val="none"/>
        </w:rPr>
      </w:pPr>
      <w:hyperlink r:id="rId7" w:history="1">
        <w:r w:rsidRPr="0069039F">
          <w:rPr>
            <w:rFonts w:ascii="Poppins" w:eastAsia="Times New Roman" w:hAnsi="Poppins" w:cs="Poppins"/>
            <w:color w:val="FF6210"/>
            <w:kern w:val="0"/>
            <w:lang w:eastAsia="en-GB"/>
            <w14:ligatures w14:val="none"/>
          </w:rPr>
          <w:t>Disclosures as Required by RBI</w:t>
        </w:r>
      </w:hyperlink>
    </w:p>
    <w:p w14:paraId="3EEBD4DF" w14:textId="77777777" w:rsidR="0069039F" w:rsidRPr="0069039F" w:rsidRDefault="0069039F" w:rsidP="0069039F">
      <w:pPr>
        <w:numPr>
          <w:ilvl w:val="0"/>
          <w:numId w:val="1"/>
        </w:numPr>
        <w:shd w:val="clear" w:color="auto" w:fill="FFFFFF"/>
        <w:textAlignment w:val="baseline"/>
        <w:rPr>
          <w:rFonts w:ascii="Times New Roman" w:eastAsia="Times New Roman" w:hAnsi="Times New Roman" w:cs="Times New Roman"/>
          <w:kern w:val="0"/>
          <w:sz w:val="27"/>
          <w:szCs w:val="27"/>
          <w:lang w:eastAsia="en-GB"/>
          <w14:ligatures w14:val="none"/>
        </w:rPr>
      </w:pPr>
      <w:hyperlink r:id="rId8" w:history="1">
        <w:r w:rsidRPr="0069039F">
          <w:rPr>
            <w:rFonts w:ascii="Poppins" w:eastAsia="Times New Roman" w:hAnsi="Poppins" w:cs="Poppins"/>
            <w:color w:val="212121"/>
            <w:kern w:val="0"/>
            <w:lang w:eastAsia="en-GB"/>
            <w14:ligatures w14:val="none"/>
          </w:rPr>
          <w:t>Policies and Codes</w:t>
        </w:r>
      </w:hyperlink>
    </w:p>
    <w:p w14:paraId="78525416" w14:textId="77777777" w:rsidR="0069039F" w:rsidRPr="0069039F" w:rsidRDefault="0069039F" w:rsidP="0069039F">
      <w:pPr>
        <w:numPr>
          <w:ilvl w:val="1"/>
          <w:numId w:val="1"/>
        </w:numPr>
        <w:pBdr>
          <w:bottom w:val="single" w:sz="6" w:space="0" w:color="C4C4C4"/>
        </w:pBdr>
        <w:shd w:val="clear" w:color="auto" w:fill="FFFFFF"/>
        <w:textAlignment w:val="baseline"/>
        <w:rPr>
          <w:rFonts w:ascii="Times New Roman" w:eastAsia="Times New Roman" w:hAnsi="Times New Roman" w:cs="Times New Roman"/>
          <w:kern w:val="0"/>
          <w:sz w:val="27"/>
          <w:szCs w:val="27"/>
          <w:lang w:eastAsia="en-GB"/>
          <w14:ligatures w14:val="none"/>
        </w:rPr>
      </w:pPr>
    </w:p>
    <w:p w14:paraId="0970D179" w14:textId="77777777" w:rsidR="0069039F" w:rsidRPr="0069039F" w:rsidRDefault="0069039F" w:rsidP="0069039F">
      <w:pPr>
        <w:numPr>
          <w:ilvl w:val="1"/>
          <w:numId w:val="1"/>
        </w:numPr>
        <w:shd w:val="clear" w:color="auto" w:fill="FFFFFF"/>
        <w:textAlignment w:val="baseline"/>
        <w:rPr>
          <w:rFonts w:ascii="Times New Roman" w:eastAsia="Times New Roman" w:hAnsi="Times New Roman" w:cs="Times New Roman"/>
          <w:kern w:val="0"/>
          <w:sz w:val="27"/>
          <w:szCs w:val="27"/>
          <w:lang w:eastAsia="en-GB"/>
          <w14:ligatures w14:val="none"/>
        </w:rPr>
      </w:pPr>
    </w:p>
    <w:p w14:paraId="4820BDA3" w14:textId="77777777" w:rsidR="0069039F" w:rsidRPr="0069039F" w:rsidRDefault="0069039F" w:rsidP="0069039F">
      <w:pPr>
        <w:numPr>
          <w:ilvl w:val="0"/>
          <w:numId w:val="1"/>
        </w:numPr>
        <w:shd w:val="clear" w:color="auto" w:fill="FFFFFF"/>
        <w:textAlignment w:val="baseline"/>
        <w:rPr>
          <w:rFonts w:ascii="Times New Roman" w:eastAsia="Times New Roman" w:hAnsi="Times New Roman" w:cs="Times New Roman"/>
          <w:kern w:val="0"/>
          <w:sz w:val="27"/>
          <w:szCs w:val="27"/>
          <w:lang w:eastAsia="en-GB"/>
          <w14:ligatures w14:val="none"/>
        </w:rPr>
      </w:pPr>
      <w:hyperlink r:id="rId9" w:history="1">
        <w:r w:rsidRPr="0069039F">
          <w:rPr>
            <w:rFonts w:ascii="Poppins" w:eastAsia="Times New Roman" w:hAnsi="Poppins" w:cs="Poppins"/>
            <w:color w:val="212121"/>
            <w:kern w:val="0"/>
            <w:lang w:eastAsia="en-GB"/>
            <w14:ligatures w14:val="none"/>
          </w:rPr>
          <w:t>Financial Information</w:t>
        </w:r>
      </w:hyperlink>
    </w:p>
    <w:p w14:paraId="2B17F646" w14:textId="77777777" w:rsidR="0069039F" w:rsidRPr="0069039F" w:rsidRDefault="0069039F" w:rsidP="0069039F">
      <w:pPr>
        <w:numPr>
          <w:ilvl w:val="1"/>
          <w:numId w:val="1"/>
        </w:numPr>
        <w:pBdr>
          <w:bottom w:val="single" w:sz="6" w:space="0" w:color="C4C4C4"/>
        </w:pBdr>
        <w:shd w:val="clear" w:color="auto" w:fill="FFFFFF"/>
        <w:textAlignment w:val="baseline"/>
        <w:rPr>
          <w:rFonts w:ascii="Times New Roman" w:eastAsia="Times New Roman" w:hAnsi="Times New Roman" w:cs="Times New Roman"/>
          <w:kern w:val="0"/>
          <w:sz w:val="27"/>
          <w:szCs w:val="27"/>
          <w:lang w:eastAsia="en-GB"/>
          <w14:ligatures w14:val="none"/>
        </w:rPr>
      </w:pPr>
    </w:p>
    <w:p w14:paraId="514FB006" w14:textId="77777777" w:rsidR="0069039F" w:rsidRPr="0069039F" w:rsidRDefault="0069039F" w:rsidP="0069039F">
      <w:pPr>
        <w:numPr>
          <w:ilvl w:val="1"/>
          <w:numId w:val="1"/>
        </w:numPr>
        <w:shd w:val="clear" w:color="auto" w:fill="FFFFFF"/>
        <w:textAlignment w:val="baseline"/>
        <w:rPr>
          <w:rFonts w:ascii="Times New Roman" w:eastAsia="Times New Roman" w:hAnsi="Times New Roman" w:cs="Times New Roman"/>
          <w:kern w:val="0"/>
          <w:sz w:val="27"/>
          <w:szCs w:val="27"/>
          <w:lang w:eastAsia="en-GB"/>
          <w14:ligatures w14:val="none"/>
        </w:rPr>
      </w:pPr>
    </w:p>
    <w:p w14:paraId="7920B2CA" w14:textId="77777777" w:rsidR="0069039F" w:rsidRPr="0069039F" w:rsidRDefault="0069039F" w:rsidP="0069039F">
      <w:pPr>
        <w:numPr>
          <w:ilvl w:val="0"/>
          <w:numId w:val="1"/>
        </w:numPr>
        <w:shd w:val="clear" w:color="auto" w:fill="FFFFFF"/>
        <w:textAlignment w:val="baseline"/>
        <w:rPr>
          <w:rFonts w:ascii="Times New Roman" w:eastAsia="Times New Roman" w:hAnsi="Times New Roman" w:cs="Times New Roman"/>
          <w:kern w:val="0"/>
          <w:sz w:val="27"/>
          <w:szCs w:val="27"/>
          <w:lang w:eastAsia="en-GB"/>
          <w14:ligatures w14:val="none"/>
        </w:rPr>
      </w:pPr>
      <w:hyperlink r:id="rId10" w:history="1">
        <w:r w:rsidRPr="0069039F">
          <w:rPr>
            <w:rFonts w:ascii="Poppins" w:eastAsia="Times New Roman" w:hAnsi="Poppins" w:cs="Poppins"/>
            <w:color w:val="212121"/>
            <w:kern w:val="0"/>
            <w:lang w:eastAsia="en-GB"/>
            <w14:ligatures w14:val="none"/>
          </w:rPr>
          <w:t>Contact</w:t>
        </w:r>
      </w:hyperlink>
    </w:p>
    <w:p w14:paraId="7677DCB3" w14:textId="77777777" w:rsidR="0069039F" w:rsidRPr="0069039F" w:rsidRDefault="0069039F" w:rsidP="0069039F">
      <w:pPr>
        <w:shd w:val="clear" w:color="auto" w:fill="FFFFFF"/>
        <w:spacing w:line="336" w:lineRule="atLeast"/>
        <w:jc w:val="center"/>
        <w:textAlignment w:val="baseline"/>
        <w:outlineLvl w:val="0"/>
        <w:rPr>
          <w:rFonts w:ascii="Montserrat" w:eastAsia="Times New Roman" w:hAnsi="Montserrat" w:cs="Poppins"/>
          <w:b/>
          <w:bCs/>
          <w:caps/>
          <w:color w:val="FFFFFF"/>
          <w:spacing w:val="38"/>
          <w:kern w:val="36"/>
          <w:sz w:val="48"/>
          <w:szCs w:val="48"/>
          <w:lang w:eastAsia="en-GB"/>
          <w14:ligatures w14:val="none"/>
        </w:rPr>
      </w:pPr>
      <w:r w:rsidRPr="0069039F">
        <w:rPr>
          <w:rFonts w:ascii="Montserrat" w:eastAsia="Times New Roman" w:hAnsi="Montserrat" w:cs="Poppins"/>
          <w:b/>
          <w:bCs/>
          <w:caps/>
          <w:color w:val="FFFFFF"/>
          <w:spacing w:val="38"/>
          <w:kern w:val="36"/>
          <w:sz w:val="48"/>
          <w:szCs w:val="48"/>
          <w:lang w:eastAsia="en-GB"/>
          <w14:ligatures w14:val="none"/>
        </w:rPr>
        <w:t>Disclosures as Required by RBI</w:t>
      </w:r>
    </w:p>
    <w:p w14:paraId="6F5ABFD4" w14:textId="77777777" w:rsidR="0069039F" w:rsidRPr="0069039F" w:rsidRDefault="0069039F" w:rsidP="0069039F">
      <w:pPr>
        <w:shd w:val="clear" w:color="auto" w:fill="FFFFFF"/>
        <w:spacing w:line="312" w:lineRule="atLeast"/>
        <w:textAlignment w:val="baseline"/>
        <w:outlineLvl w:val="1"/>
        <w:rPr>
          <w:rFonts w:ascii="Montserrat" w:eastAsia="Times New Roman" w:hAnsi="Montserrat" w:cs="Poppins"/>
          <w:b/>
          <w:bCs/>
          <w:caps/>
          <w:color w:val="1C0D0A"/>
          <w:kern w:val="0"/>
          <w:sz w:val="36"/>
          <w:szCs w:val="36"/>
          <w:lang w:eastAsia="en-GB"/>
          <w14:ligatures w14:val="none"/>
        </w:rPr>
      </w:pPr>
      <w:r w:rsidRPr="0069039F">
        <w:rPr>
          <w:rFonts w:ascii="Montserrat" w:eastAsia="Times New Roman" w:hAnsi="Montserrat" w:cs="Poppins"/>
          <w:b/>
          <w:bCs/>
          <w:caps/>
          <w:color w:val="1C0D0A"/>
          <w:kern w:val="0"/>
          <w:sz w:val="36"/>
          <w:szCs w:val="36"/>
          <w:lang w:eastAsia="en-GB"/>
          <w14:ligatures w14:val="none"/>
        </w:rPr>
        <w:t>Interest Rates and Penal Charges Disclosure</w:t>
      </w:r>
    </w:p>
    <w:p w14:paraId="077E0B26" w14:textId="77777777" w:rsidR="0069039F" w:rsidRPr="0069039F" w:rsidRDefault="0069039F" w:rsidP="0069039F">
      <w:pPr>
        <w:shd w:val="clear" w:color="auto" w:fill="FFFFFF"/>
        <w:spacing w:after="384"/>
        <w:textAlignment w:val="baseline"/>
        <w:rPr>
          <w:rFonts w:ascii="Poppins" w:eastAsia="Times New Roman" w:hAnsi="Poppins" w:cs="Poppins"/>
          <w:color w:val="353535"/>
          <w:kern w:val="0"/>
          <w:lang w:eastAsia="en-GB"/>
          <w14:ligatures w14:val="none"/>
        </w:rPr>
      </w:pPr>
      <w:r w:rsidRPr="0069039F">
        <w:rPr>
          <w:rFonts w:ascii="Poppins" w:eastAsia="Times New Roman" w:hAnsi="Poppins" w:cs="Poppins"/>
          <w:color w:val="353535"/>
          <w:kern w:val="0"/>
          <w:lang w:eastAsia="en-GB"/>
          <w14:ligatures w14:val="none"/>
        </w:rPr>
        <w:t>The company charges interest and service charges based on market conditions and the borrower’s risk profile. Penal charges are levied to encourage timely payments and to cover losses incurred from payment delays. These charges are not considered interest. </w:t>
      </w:r>
    </w:p>
    <w:p w14:paraId="097E7046" w14:textId="77777777" w:rsidR="0069039F" w:rsidRPr="0069039F" w:rsidRDefault="0069039F" w:rsidP="0069039F">
      <w:pPr>
        <w:numPr>
          <w:ilvl w:val="0"/>
          <w:numId w:val="2"/>
        </w:numPr>
        <w:shd w:val="clear" w:color="auto" w:fill="FFFFFF"/>
        <w:ind w:left="1440"/>
        <w:textAlignment w:val="baseline"/>
        <w:rPr>
          <w:rFonts w:ascii="Poppins" w:eastAsia="Times New Roman" w:hAnsi="Poppins" w:cs="Poppins"/>
          <w:color w:val="353535"/>
          <w:kern w:val="0"/>
          <w:lang w:eastAsia="en-GB"/>
          <w14:ligatures w14:val="none"/>
        </w:rPr>
      </w:pPr>
      <w:r w:rsidRPr="0069039F">
        <w:rPr>
          <w:rFonts w:ascii="Poppins" w:eastAsia="Times New Roman" w:hAnsi="Poppins" w:cs="Poppins"/>
          <w:b/>
          <w:bCs/>
          <w:color w:val="353535"/>
          <w:kern w:val="0"/>
          <w:lang w:eastAsia="en-GB"/>
          <w14:ligatures w14:val="none"/>
        </w:rPr>
        <w:t>Interest Rates:</w:t>
      </w:r>
      <w:r w:rsidRPr="0069039F">
        <w:rPr>
          <w:rFonts w:ascii="Poppins" w:eastAsia="Times New Roman" w:hAnsi="Poppins" w:cs="Poppins"/>
          <w:color w:val="353535"/>
          <w:kern w:val="0"/>
          <w:lang w:eastAsia="en-GB"/>
          <w14:ligatures w14:val="none"/>
        </w:rPr>
        <w:t> Interest on loans ranges from 9% to 18% based on risk assessment. For new vehicles, interest rate is typically 12%, while for older vehicles, they are around 18%. Interest is charged on a flat basis for easy calculation and understanding, and the rate is between 12% and 18%. </w:t>
      </w:r>
    </w:p>
    <w:p w14:paraId="52A5DB23" w14:textId="77777777" w:rsidR="0069039F" w:rsidRPr="0069039F" w:rsidRDefault="0069039F" w:rsidP="0069039F">
      <w:pPr>
        <w:numPr>
          <w:ilvl w:val="0"/>
          <w:numId w:val="3"/>
        </w:numPr>
        <w:shd w:val="clear" w:color="auto" w:fill="FFFFFF"/>
        <w:ind w:left="1440"/>
        <w:textAlignment w:val="baseline"/>
        <w:rPr>
          <w:rFonts w:ascii="Poppins" w:eastAsia="Times New Roman" w:hAnsi="Poppins" w:cs="Poppins"/>
          <w:color w:val="353535"/>
          <w:kern w:val="0"/>
          <w:lang w:eastAsia="en-GB"/>
          <w14:ligatures w14:val="none"/>
        </w:rPr>
      </w:pPr>
      <w:r w:rsidRPr="0069039F">
        <w:rPr>
          <w:rFonts w:ascii="Poppins" w:eastAsia="Times New Roman" w:hAnsi="Poppins" w:cs="Poppins"/>
          <w:b/>
          <w:bCs/>
          <w:color w:val="353535"/>
          <w:kern w:val="0"/>
          <w:lang w:eastAsia="en-GB"/>
          <w14:ligatures w14:val="none"/>
        </w:rPr>
        <w:t>Penal Charges:</w:t>
      </w:r>
      <w:r w:rsidRPr="0069039F">
        <w:rPr>
          <w:rFonts w:ascii="Poppins" w:eastAsia="Times New Roman" w:hAnsi="Poppins" w:cs="Poppins"/>
          <w:color w:val="353535"/>
          <w:kern w:val="0"/>
          <w:lang w:eastAsia="en-GB"/>
          <w14:ligatures w14:val="none"/>
        </w:rPr>
        <w:t> Penal charges are applied for late payments and bounced cheques. A penalty of Rs. 500 to Rs. 2,000 will be debited to the borrower’s account for a one-month delay based on the EMI amount. </w:t>
      </w:r>
    </w:p>
    <w:p w14:paraId="3FD49FE9" w14:textId="77777777" w:rsidR="0069039F" w:rsidRPr="0069039F" w:rsidRDefault="0069039F" w:rsidP="0069039F">
      <w:pPr>
        <w:numPr>
          <w:ilvl w:val="0"/>
          <w:numId w:val="4"/>
        </w:numPr>
        <w:shd w:val="clear" w:color="auto" w:fill="FFFFFF"/>
        <w:ind w:left="1440"/>
        <w:textAlignment w:val="baseline"/>
        <w:rPr>
          <w:rFonts w:ascii="Poppins" w:eastAsia="Times New Roman" w:hAnsi="Poppins" w:cs="Poppins"/>
          <w:color w:val="353535"/>
          <w:kern w:val="0"/>
          <w:lang w:eastAsia="en-GB"/>
          <w14:ligatures w14:val="none"/>
        </w:rPr>
      </w:pPr>
      <w:r w:rsidRPr="0069039F">
        <w:rPr>
          <w:rFonts w:ascii="Poppins" w:eastAsia="Times New Roman" w:hAnsi="Poppins" w:cs="Poppins"/>
          <w:b/>
          <w:bCs/>
          <w:color w:val="353535"/>
          <w:kern w:val="0"/>
          <w:lang w:eastAsia="en-GB"/>
          <w14:ligatures w14:val="none"/>
        </w:rPr>
        <w:t>Service/Documentation Charges:</w:t>
      </w:r>
      <w:r w:rsidRPr="0069039F">
        <w:rPr>
          <w:rFonts w:ascii="Poppins" w:eastAsia="Times New Roman" w:hAnsi="Poppins" w:cs="Poppins"/>
          <w:color w:val="353535"/>
          <w:kern w:val="0"/>
          <w:lang w:eastAsia="en-GB"/>
          <w14:ligatures w14:val="none"/>
        </w:rPr>
        <w:t> The documentation costs is charged between 1% to 2%. </w:t>
      </w:r>
    </w:p>
    <w:p w14:paraId="5B079173" w14:textId="77777777" w:rsidR="0069039F" w:rsidRPr="0069039F" w:rsidRDefault="0069039F" w:rsidP="0069039F">
      <w:pPr>
        <w:shd w:val="clear" w:color="auto" w:fill="FFFFFF"/>
        <w:spacing w:line="312" w:lineRule="atLeast"/>
        <w:textAlignment w:val="baseline"/>
        <w:outlineLvl w:val="1"/>
        <w:rPr>
          <w:rFonts w:ascii="Montserrat" w:eastAsia="Times New Roman" w:hAnsi="Montserrat" w:cs="Poppins"/>
          <w:b/>
          <w:bCs/>
          <w:caps/>
          <w:color w:val="1C0D0A"/>
          <w:kern w:val="0"/>
          <w:sz w:val="36"/>
          <w:szCs w:val="36"/>
          <w:lang w:eastAsia="en-GB"/>
          <w14:ligatures w14:val="none"/>
        </w:rPr>
      </w:pPr>
      <w:r w:rsidRPr="0069039F">
        <w:rPr>
          <w:rFonts w:ascii="Montserrat" w:eastAsia="Times New Roman" w:hAnsi="Montserrat" w:cs="Poppins"/>
          <w:b/>
          <w:bCs/>
          <w:caps/>
          <w:color w:val="1C0D0A"/>
          <w:kern w:val="0"/>
          <w:sz w:val="36"/>
          <w:szCs w:val="36"/>
          <w:lang w:eastAsia="en-GB"/>
          <w14:ligatures w14:val="none"/>
        </w:rPr>
        <w:t>Consumer Education</w:t>
      </w:r>
    </w:p>
    <w:p w14:paraId="4C63C085" w14:textId="77777777" w:rsidR="0069039F" w:rsidRPr="0069039F" w:rsidRDefault="0069039F" w:rsidP="0069039F">
      <w:pPr>
        <w:shd w:val="clear" w:color="auto" w:fill="FFFFFF"/>
        <w:spacing w:after="384"/>
        <w:textAlignment w:val="baseline"/>
        <w:rPr>
          <w:rFonts w:ascii="Poppins" w:eastAsia="Times New Roman" w:hAnsi="Poppins" w:cs="Poppins"/>
          <w:color w:val="353535"/>
          <w:kern w:val="0"/>
          <w:lang w:eastAsia="en-GB"/>
          <w14:ligatures w14:val="none"/>
        </w:rPr>
      </w:pPr>
      <w:r w:rsidRPr="0069039F">
        <w:rPr>
          <w:rFonts w:ascii="Poppins" w:eastAsia="Times New Roman" w:hAnsi="Poppins" w:cs="Poppins"/>
          <w:color w:val="353535"/>
          <w:kern w:val="0"/>
          <w:lang w:eastAsia="en-GB"/>
          <w14:ligatures w14:val="none"/>
        </w:rPr>
        <w:lastRenderedPageBreak/>
        <w:t>The company aims to improve financial literacy by educating consumers on overdue payments, Special Mention Accounts (SMA), Non-Performing Assets (NPA), and account upgradation. A copy of the Fair Practices Code, which covers these topics, is given to every borrower in their local language. </w:t>
      </w:r>
    </w:p>
    <w:p w14:paraId="29DD7CB1" w14:textId="77777777" w:rsidR="0069039F" w:rsidRPr="0069039F" w:rsidRDefault="0069039F" w:rsidP="0069039F">
      <w:pPr>
        <w:numPr>
          <w:ilvl w:val="0"/>
          <w:numId w:val="5"/>
        </w:numPr>
        <w:shd w:val="clear" w:color="auto" w:fill="FFFFFF"/>
        <w:ind w:left="1440"/>
        <w:textAlignment w:val="baseline"/>
        <w:rPr>
          <w:rFonts w:ascii="Poppins" w:eastAsia="Times New Roman" w:hAnsi="Poppins" w:cs="Poppins"/>
          <w:color w:val="353535"/>
          <w:kern w:val="0"/>
          <w:lang w:eastAsia="en-GB"/>
          <w14:ligatures w14:val="none"/>
        </w:rPr>
      </w:pPr>
      <w:r w:rsidRPr="0069039F">
        <w:rPr>
          <w:rFonts w:ascii="Poppins" w:eastAsia="Times New Roman" w:hAnsi="Poppins" w:cs="Poppins"/>
          <w:b/>
          <w:bCs/>
          <w:color w:val="353535"/>
          <w:kern w:val="0"/>
          <w:lang w:eastAsia="en-GB"/>
          <w14:ligatures w14:val="none"/>
        </w:rPr>
        <w:t>Overdue Payments:</w:t>
      </w:r>
      <w:r w:rsidRPr="0069039F">
        <w:rPr>
          <w:rFonts w:ascii="Poppins" w:eastAsia="Times New Roman" w:hAnsi="Poppins" w:cs="Poppins"/>
          <w:color w:val="353535"/>
          <w:kern w:val="0"/>
          <w:lang w:eastAsia="en-GB"/>
          <w14:ligatures w14:val="none"/>
        </w:rPr>
        <w:t> A payment is considered “overdue” if it is not made by the due date. For example, if an EMI is due on June 5th and is not paid, the account becomes overdue on June 5th at the end of the day. </w:t>
      </w:r>
    </w:p>
    <w:p w14:paraId="31056BFE" w14:textId="77777777" w:rsidR="0069039F" w:rsidRPr="0069039F" w:rsidRDefault="0069039F" w:rsidP="0069039F">
      <w:pPr>
        <w:numPr>
          <w:ilvl w:val="0"/>
          <w:numId w:val="6"/>
        </w:numPr>
        <w:shd w:val="clear" w:color="auto" w:fill="FFFFFF"/>
        <w:ind w:left="1440"/>
        <w:textAlignment w:val="baseline"/>
        <w:rPr>
          <w:rFonts w:ascii="Poppins" w:eastAsia="Times New Roman" w:hAnsi="Poppins" w:cs="Poppins"/>
          <w:color w:val="353535"/>
          <w:kern w:val="0"/>
          <w:lang w:eastAsia="en-GB"/>
          <w14:ligatures w14:val="none"/>
        </w:rPr>
      </w:pPr>
      <w:r w:rsidRPr="0069039F">
        <w:rPr>
          <w:rFonts w:ascii="Poppins" w:eastAsia="Times New Roman" w:hAnsi="Poppins" w:cs="Poppins"/>
          <w:b/>
          <w:bCs/>
          <w:color w:val="353535"/>
          <w:kern w:val="0"/>
          <w:lang w:eastAsia="en-GB"/>
          <w14:ligatures w14:val="none"/>
        </w:rPr>
        <w:t>Special Mention Account (SMA):</w:t>
      </w:r>
      <w:r w:rsidRPr="0069039F">
        <w:rPr>
          <w:rFonts w:ascii="Poppins" w:eastAsia="Times New Roman" w:hAnsi="Poppins" w:cs="Poppins"/>
          <w:color w:val="353535"/>
          <w:kern w:val="0"/>
          <w:lang w:eastAsia="en-GB"/>
          <w14:ligatures w14:val="none"/>
        </w:rPr>
        <w:t> An SMA is an early warning system for accounts showing signs of stress before becoming an NPA. The RBI categorizes SMAs based on the number of days a payment is overdue: </w:t>
      </w:r>
    </w:p>
    <w:p w14:paraId="380CB302" w14:textId="77777777" w:rsidR="0069039F" w:rsidRPr="0069039F" w:rsidRDefault="0069039F" w:rsidP="0069039F">
      <w:pPr>
        <w:numPr>
          <w:ilvl w:val="0"/>
          <w:numId w:val="7"/>
        </w:numPr>
        <w:shd w:val="clear" w:color="auto" w:fill="FFFFFF"/>
        <w:ind w:left="1440"/>
        <w:textAlignment w:val="baseline"/>
        <w:rPr>
          <w:rFonts w:ascii="Poppins" w:eastAsia="Times New Roman" w:hAnsi="Poppins" w:cs="Poppins"/>
          <w:color w:val="353535"/>
          <w:kern w:val="0"/>
          <w:lang w:eastAsia="en-GB"/>
          <w14:ligatures w14:val="none"/>
        </w:rPr>
      </w:pPr>
      <w:r w:rsidRPr="0069039F">
        <w:rPr>
          <w:rFonts w:ascii="Poppins" w:eastAsia="Times New Roman" w:hAnsi="Poppins" w:cs="Poppins"/>
          <w:b/>
          <w:bCs/>
          <w:color w:val="353535"/>
          <w:kern w:val="0"/>
          <w:lang w:eastAsia="en-GB"/>
          <w14:ligatures w14:val="none"/>
        </w:rPr>
        <w:t>SMA-1:</w:t>
      </w:r>
      <w:r w:rsidRPr="0069039F">
        <w:rPr>
          <w:rFonts w:ascii="Poppins" w:eastAsia="Times New Roman" w:hAnsi="Poppins" w:cs="Poppins"/>
          <w:color w:val="353535"/>
          <w:kern w:val="0"/>
          <w:lang w:eastAsia="en-GB"/>
          <w14:ligatures w14:val="none"/>
        </w:rPr>
        <w:t> Payment is overdue for 1 to 30 days. </w:t>
      </w:r>
    </w:p>
    <w:p w14:paraId="5A3C355B" w14:textId="77777777" w:rsidR="0069039F" w:rsidRPr="0069039F" w:rsidRDefault="0069039F" w:rsidP="0069039F">
      <w:pPr>
        <w:numPr>
          <w:ilvl w:val="0"/>
          <w:numId w:val="8"/>
        </w:numPr>
        <w:shd w:val="clear" w:color="auto" w:fill="FFFFFF"/>
        <w:ind w:left="1440"/>
        <w:textAlignment w:val="baseline"/>
        <w:rPr>
          <w:rFonts w:ascii="Poppins" w:eastAsia="Times New Roman" w:hAnsi="Poppins" w:cs="Poppins"/>
          <w:color w:val="353535"/>
          <w:kern w:val="0"/>
          <w:lang w:eastAsia="en-GB"/>
          <w14:ligatures w14:val="none"/>
        </w:rPr>
      </w:pPr>
      <w:r w:rsidRPr="0069039F">
        <w:rPr>
          <w:rFonts w:ascii="Poppins" w:eastAsia="Times New Roman" w:hAnsi="Poppins" w:cs="Poppins"/>
          <w:b/>
          <w:bCs/>
          <w:color w:val="353535"/>
          <w:kern w:val="0"/>
          <w:lang w:eastAsia="en-GB"/>
          <w14:ligatures w14:val="none"/>
        </w:rPr>
        <w:t>SMA-2:</w:t>
      </w:r>
      <w:r w:rsidRPr="0069039F">
        <w:rPr>
          <w:rFonts w:ascii="Poppins" w:eastAsia="Times New Roman" w:hAnsi="Poppins" w:cs="Poppins"/>
          <w:color w:val="353535"/>
          <w:kern w:val="0"/>
          <w:lang w:eastAsia="en-GB"/>
          <w14:ligatures w14:val="none"/>
        </w:rPr>
        <w:t> Payment is overdue for 31 to 60 days. </w:t>
      </w:r>
    </w:p>
    <w:p w14:paraId="52D7D7E6" w14:textId="77777777" w:rsidR="0069039F" w:rsidRPr="0069039F" w:rsidRDefault="0069039F" w:rsidP="0069039F">
      <w:pPr>
        <w:numPr>
          <w:ilvl w:val="0"/>
          <w:numId w:val="9"/>
        </w:numPr>
        <w:shd w:val="clear" w:color="auto" w:fill="FFFFFF"/>
        <w:ind w:left="1440"/>
        <w:textAlignment w:val="baseline"/>
        <w:rPr>
          <w:rFonts w:ascii="Poppins" w:eastAsia="Times New Roman" w:hAnsi="Poppins" w:cs="Poppins"/>
          <w:color w:val="353535"/>
          <w:kern w:val="0"/>
          <w:lang w:eastAsia="en-GB"/>
          <w14:ligatures w14:val="none"/>
        </w:rPr>
      </w:pPr>
      <w:r w:rsidRPr="0069039F">
        <w:rPr>
          <w:rFonts w:ascii="Poppins" w:eastAsia="Times New Roman" w:hAnsi="Poppins" w:cs="Poppins"/>
          <w:b/>
          <w:bCs/>
          <w:color w:val="353535"/>
          <w:kern w:val="0"/>
          <w:lang w:eastAsia="en-GB"/>
          <w14:ligatures w14:val="none"/>
        </w:rPr>
        <w:t>SMA-3:</w:t>
      </w:r>
      <w:r w:rsidRPr="0069039F">
        <w:rPr>
          <w:rFonts w:ascii="Poppins" w:eastAsia="Times New Roman" w:hAnsi="Poppins" w:cs="Poppins"/>
          <w:color w:val="353535"/>
          <w:kern w:val="0"/>
          <w:lang w:eastAsia="en-GB"/>
          <w14:ligatures w14:val="none"/>
        </w:rPr>
        <w:t> Payment is overdue for 61 to 90 days. </w:t>
      </w:r>
    </w:p>
    <w:p w14:paraId="3D82655A" w14:textId="77777777" w:rsidR="0069039F" w:rsidRPr="0069039F" w:rsidRDefault="0069039F" w:rsidP="0069039F">
      <w:pPr>
        <w:numPr>
          <w:ilvl w:val="0"/>
          <w:numId w:val="10"/>
        </w:numPr>
        <w:shd w:val="clear" w:color="auto" w:fill="FFFFFF"/>
        <w:ind w:left="1440"/>
        <w:textAlignment w:val="baseline"/>
        <w:rPr>
          <w:rFonts w:ascii="Poppins" w:eastAsia="Times New Roman" w:hAnsi="Poppins" w:cs="Poppins"/>
          <w:color w:val="353535"/>
          <w:kern w:val="0"/>
          <w:lang w:eastAsia="en-GB"/>
          <w14:ligatures w14:val="none"/>
        </w:rPr>
      </w:pPr>
      <w:r w:rsidRPr="0069039F">
        <w:rPr>
          <w:rFonts w:ascii="Poppins" w:eastAsia="Times New Roman" w:hAnsi="Poppins" w:cs="Poppins"/>
          <w:b/>
          <w:bCs/>
          <w:color w:val="353535"/>
          <w:kern w:val="0"/>
          <w:lang w:eastAsia="en-GB"/>
          <w14:ligatures w14:val="none"/>
        </w:rPr>
        <w:t>Non-Performing Asset (NPA):</w:t>
      </w:r>
      <w:r w:rsidRPr="0069039F">
        <w:rPr>
          <w:rFonts w:ascii="Poppins" w:eastAsia="Times New Roman" w:hAnsi="Poppins" w:cs="Poppins"/>
          <w:color w:val="353535"/>
          <w:kern w:val="0"/>
          <w:lang w:eastAsia="en-GB"/>
          <w14:ligatures w14:val="none"/>
        </w:rPr>
        <w:t> A loan becomes an NPA when it stops generating income for the company, which typically occurs when a payment is overdue for more than 90 days. </w:t>
      </w:r>
    </w:p>
    <w:p w14:paraId="4E76FC85" w14:textId="77777777" w:rsidR="0069039F" w:rsidRPr="0069039F" w:rsidRDefault="0069039F" w:rsidP="0069039F">
      <w:pPr>
        <w:numPr>
          <w:ilvl w:val="0"/>
          <w:numId w:val="11"/>
        </w:numPr>
        <w:shd w:val="clear" w:color="auto" w:fill="FFFFFF"/>
        <w:ind w:left="1440"/>
        <w:textAlignment w:val="baseline"/>
        <w:rPr>
          <w:rFonts w:ascii="Poppins" w:eastAsia="Times New Roman" w:hAnsi="Poppins" w:cs="Poppins"/>
          <w:color w:val="353535"/>
          <w:kern w:val="0"/>
          <w:lang w:eastAsia="en-GB"/>
          <w14:ligatures w14:val="none"/>
        </w:rPr>
      </w:pPr>
      <w:r w:rsidRPr="0069039F">
        <w:rPr>
          <w:rFonts w:ascii="Poppins" w:eastAsia="Times New Roman" w:hAnsi="Poppins" w:cs="Poppins"/>
          <w:b/>
          <w:bCs/>
          <w:color w:val="353535"/>
          <w:kern w:val="0"/>
          <w:lang w:eastAsia="en-GB"/>
          <w14:ligatures w14:val="none"/>
        </w:rPr>
        <w:t>Account Upgradation:</w:t>
      </w:r>
      <w:r w:rsidRPr="0069039F">
        <w:rPr>
          <w:rFonts w:ascii="Poppins" w:eastAsia="Times New Roman" w:hAnsi="Poppins" w:cs="Poppins"/>
          <w:color w:val="353535"/>
          <w:kern w:val="0"/>
          <w:lang w:eastAsia="en-GB"/>
          <w14:ligatures w14:val="none"/>
        </w:rPr>
        <w:t> An NPA account can be upgraded back to a “Standard” asset category only when the borrower pays the entire overdue amount, including principal and accrued interest. If a borrower has multiple credit facilities, all accounts will be upgraded only after all arrears are paid.</w:t>
      </w:r>
    </w:p>
    <w:p w14:paraId="45C25774" w14:textId="77777777" w:rsidR="0069039F" w:rsidRPr="0069039F" w:rsidRDefault="0069039F" w:rsidP="0069039F">
      <w:pPr>
        <w:shd w:val="clear" w:color="auto" w:fill="FFFFFF"/>
        <w:spacing w:line="312" w:lineRule="atLeast"/>
        <w:textAlignment w:val="baseline"/>
        <w:outlineLvl w:val="1"/>
        <w:rPr>
          <w:rFonts w:ascii="Montserrat" w:eastAsia="Times New Roman" w:hAnsi="Montserrat" w:cs="Poppins"/>
          <w:b/>
          <w:bCs/>
          <w:caps/>
          <w:color w:val="1C0D0A"/>
          <w:kern w:val="0"/>
          <w:sz w:val="36"/>
          <w:szCs w:val="36"/>
          <w:lang w:eastAsia="en-GB"/>
          <w14:ligatures w14:val="none"/>
        </w:rPr>
      </w:pPr>
      <w:r w:rsidRPr="0069039F">
        <w:rPr>
          <w:rFonts w:ascii="Montserrat" w:eastAsia="Times New Roman" w:hAnsi="Montserrat" w:cs="Poppins"/>
          <w:b/>
          <w:bCs/>
          <w:caps/>
          <w:color w:val="1C0D0A"/>
          <w:kern w:val="0"/>
          <w:sz w:val="36"/>
          <w:szCs w:val="36"/>
          <w:lang w:eastAsia="en-GB"/>
          <w14:ligatures w14:val="none"/>
        </w:rPr>
        <w:t>Return of Documents to Legal Heirs</w:t>
      </w:r>
    </w:p>
    <w:p w14:paraId="4BA1CE83" w14:textId="77777777" w:rsidR="0069039F" w:rsidRPr="0069039F" w:rsidRDefault="0069039F" w:rsidP="0069039F">
      <w:pPr>
        <w:shd w:val="clear" w:color="auto" w:fill="FFFFFF"/>
        <w:spacing w:after="384"/>
        <w:textAlignment w:val="baseline"/>
        <w:rPr>
          <w:rFonts w:ascii="Poppins" w:eastAsia="Times New Roman" w:hAnsi="Poppins" w:cs="Poppins"/>
          <w:color w:val="353535"/>
          <w:kern w:val="0"/>
          <w:lang w:eastAsia="en-GB"/>
          <w14:ligatures w14:val="none"/>
        </w:rPr>
      </w:pPr>
      <w:r w:rsidRPr="0069039F">
        <w:rPr>
          <w:rFonts w:ascii="Poppins" w:eastAsia="Times New Roman" w:hAnsi="Poppins" w:cs="Poppins"/>
          <w:color w:val="353535"/>
          <w:kern w:val="0"/>
          <w:lang w:val="en-US" w:eastAsia="en-GB"/>
          <w14:ligatures w14:val="none"/>
        </w:rPr>
        <w:t>In the event of a borrower’s death, the company has a policy to return original property documents to legal heirs after they submit a Legal Heir Certificate and other necessary documents. The documents will only be returned after obtaining legal opinion and advice.</w:t>
      </w:r>
      <w:r w:rsidRPr="0069039F">
        <w:rPr>
          <w:rFonts w:ascii="Poppins" w:eastAsia="Times New Roman" w:hAnsi="Poppins" w:cs="Poppins"/>
          <w:color w:val="353535"/>
          <w:kern w:val="0"/>
          <w:lang w:eastAsia="en-GB"/>
          <w14:ligatures w14:val="none"/>
        </w:rPr>
        <w:t> </w:t>
      </w:r>
    </w:p>
    <w:p w14:paraId="197C5B79" w14:textId="77777777" w:rsidR="0069039F" w:rsidRPr="0069039F" w:rsidRDefault="0069039F" w:rsidP="0069039F">
      <w:pPr>
        <w:shd w:val="clear" w:color="auto" w:fill="FFFFFF"/>
        <w:spacing w:line="312" w:lineRule="atLeast"/>
        <w:textAlignment w:val="baseline"/>
        <w:outlineLvl w:val="1"/>
        <w:rPr>
          <w:rFonts w:ascii="Montserrat" w:eastAsia="Times New Roman" w:hAnsi="Montserrat" w:cs="Poppins"/>
          <w:b/>
          <w:bCs/>
          <w:caps/>
          <w:color w:val="1C0D0A"/>
          <w:kern w:val="0"/>
          <w:sz w:val="36"/>
          <w:szCs w:val="36"/>
          <w:lang w:eastAsia="en-GB"/>
          <w14:ligatures w14:val="none"/>
        </w:rPr>
      </w:pPr>
      <w:r w:rsidRPr="0069039F">
        <w:rPr>
          <w:rFonts w:ascii="Montserrat" w:eastAsia="Times New Roman" w:hAnsi="Montserrat" w:cs="Poppins"/>
          <w:b/>
          <w:bCs/>
          <w:caps/>
          <w:color w:val="1C0D0A"/>
          <w:kern w:val="0"/>
          <w:sz w:val="36"/>
          <w:szCs w:val="36"/>
          <w:lang w:eastAsia="en-GB"/>
          <w14:ligatures w14:val="none"/>
        </w:rPr>
        <w:t>Fair Practices Code</w:t>
      </w:r>
    </w:p>
    <w:p w14:paraId="52CDE94D" w14:textId="77777777" w:rsidR="0069039F" w:rsidRPr="0069039F" w:rsidRDefault="0069039F" w:rsidP="0069039F">
      <w:pPr>
        <w:shd w:val="clear" w:color="auto" w:fill="FFFFFF"/>
        <w:spacing w:after="384"/>
        <w:textAlignment w:val="baseline"/>
        <w:rPr>
          <w:rFonts w:ascii="Poppins" w:eastAsia="Times New Roman" w:hAnsi="Poppins" w:cs="Poppins"/>
          <w:color w:val="353535"/>
          <w:kern w:val="0"/>
          <w:lang w:eastAsia="en-GB"/>
          <w14:ligatures w14:val="none"/>
        </w:rPr>
      </w:pPr>
      <w:r w:rsidRPr="0069039F">
        <w:rPr>
          <w:rFonts w:ascii="Poppins" w:eastAsia="Times New Roman" w:hAnsi="Poppins" w:cs="Poppins"/>
          <w:color w:val="353535"/>
          <w:kern w:val="0"/>
          <w:lang w:val="en-US" w:eastAsia="en-GB"/>
          <w14:ligatures w14:val="none"/>
        </w:rPr>
        <w:t>The NBFC follows a Board-approved Fair Practices Code to ensure transparency and customer protection. The code is displayed on the company’s notice board in both English and a vernacular language. And the same is hosted in the Polices and Codes section of the website.</w:t>
      </w:r>
      <w:r w:rsidRPr="0069039F">
        <w:rPr>
          <w:rFonts w:ascii="Poppins" w:eastAsia="Times New Roman" w:hAnsi="Poppins" w:cs="Poppins"/>
          <w:color w:val="353535"/>
          <w:kern w:val="0"/>
          <w:lang w:eastAsia="en-GB"/>
          <w14:ligatures w14:val="none"/>
        </w:rPr>
        <w:t> </w:t>
      </w:r>
    </w:p>
    <w:p w14:paraId="407C1F97" w14:textId="77777777" w:rsidR="0069039F" w:rsidRPr="0069039F" w:rsidRDefault="0069039F" w:rsidP="0069039F">
      <w:pPr>
        <w:shd w:val="clear" w:color="auto" w:fill="FFFFFF"/>
        <w:spacing w:line="312" w:lineRule="atLeast"/>
        <w:textAlignment w:val="baseline"/>
        <w:outlineLvl w:val="1"/>
        <w:rPr>
          <w:rFonts w:ascii="Montserrat" w:eastAsia="Times New Roman" w:hAnsi="Montserrat" w:cs="Poppins"/>
          <w:b/>
          <w:bCs/>
          <w:caps/>
          <w:color w:val="1C0D0A"/>
          <w:kern w:val="0"/>
          <w:sz w:val="36"/>
          <w:szCs w:val="36"/>
          <w:lang w:eastAsia="en-GB"/>
          <w14:ligatures w14:val="none"/>
        </w:rPr>
      </w:pPr>
      <w:r w:rsidRPr="0069039F">
        <w:rPr>
          <w:rFonts w:ascii="Montserrat" w:eastAsia="Times New Roman" w:hAnsi="Montserrat" w:cs="Poppins"/>
          <w:b/>
          <w:bCs/>
          <w:caps/>
          <w:color w:val="1C0D0A"/>
          <w:kern w:val="0"/>
          <w:sz w:val="36"/>
          <w:szCs w:val="36"/>
          <w:lang w:eastAsia="en-GB"/>
          <w14:ligatures w14:val="none"/>
        </w:rPr>
        <w:lastRenderedPageBreak/>
        <w:t>Interest Rate Gradation</w:t>
      </w:r>
    </w:p>
    <w:p w14:paraId="74D4BDEB" w14:textId="77777777" w:rsidR="0069039F" w:rsidRPr="0069039F" w:rsidRDefault="0069039F" w:rsidP="0069039F">
      <w:pPr>
        <w:shd w:val="clear" w:color="auto" w:fill="FFFFFF"/>
        <w:spacing w:after="384"/>
        <w:textAlignment w:val="baseline"/>
        <w:rPr>
          <w:rFonts w:ascii="Poppins" w:eastAsia="Times New Roman" w:hAnsi="Poppins" w:cs="Poppins"/>
          <w:color w:val="353535"/>
          <w:kern w:val="0"/>
          <w:lang w:eastAsia="en-GB"/>
          <w14:ligatures w14:val="none"/>
        </w:rPr>
      </w:pPr>
      <w:r w:rsidRPr="0069039F">
        <w:rPr>
          <w:rFonts w:ascii="Poppins" w:eastAsia="Times New Roman" w:hAnsi="Poppins" w:cs="Poppins"/>
          <w:color w:val="353535"/>
          <w:kern w:val="0"/>
          <w:lang w:val="en-US" w:eastAsia="en-GB"/>
          <w14:ligatures w14:val="none"/>
        </w:rPr>
        <w:t>Interest rates differ based on a customer’s risk profile and asset class. The risk-based gradation and current rates are published and updated regularly.</w:t>
      </w:r>
      <w:r w:rsidRPr="0069039F">
        <w:rPr>
          <w:rFonts w:ascii="Poppins" w:eastAsia="Times New Roman" w:hAnsi="Poppins" w:cs="Poppins"/>
          <w:color w:val="353535"/>
          <w:kern w:val="0"/>
          <w:lang w:eastAsia="en-GB"/>
          <w14:ligatures w14:val="none"/>
        </w:rPr>
        <w:t> </w:t>
      </w:r>
    </w:p>
    <w:p w14:paraId="2086C6F3" w14:textId="77777777" w:rsidR="0069039F" w:rsidRPr="0069039F" w:rsidRDefault="0069039F" w:rsidP="0069039F">
      <w:pPr>
        <w:shd w:val="clear" w:color="auto" w:fill="FFFFFF"/>
        <w:spacing w:line="312" w:lineRule="atLeast"/>
        <w:textAlignment w:val="baseline"/>
        <w:outlineLvl w:val="1"/>
        <w:rPr>
          <w:rFonts w:ascii="Montserrat" w:eastAsia="Times New Roman" w:hAnsi="Montserrat" w:cs="Poppins"/>
          <w:b/>
          <w:bCs/>
          <w:caps/>
          <w:color w:val="1C0D0A"/>
          <w:kern w:val="0"/>
          <w:sz w:val="36"/>
          <w:szCs w:val="36"/>
          <w:lang w:eastAsia="en-GB"/>
          <w14:ligatures w14:val="none"/>
        </w:rPr>
      </w:pPr>
      <w:r w:rsidRPr="0069039F">
        <w:rPr>
          <w:rFonts w:ascii="Montserrat" w:eastAsia="Times New Roman" w:hAnsi="Montserrat" w:cs="Poppins"/>
          <w:b/>
          <w:bCs/>
          <w:caps/>
          <w:color w:val="1C0D0A"/>
          <w:kern w:val="0"/>
          <w:sz w:val="36"/>
          <w:szCs w:val="36"/>
          <w:lang w:eastAsia="en-GB"/>
          <w14:ligatures w14:val="none"/>
        </w:rPr>
        <w:t>Digital Lending Platforms (DLPs)</w:t>
      </w:r>
    </w:p>
    <w:p w14:paraId="6D8B2560" w14:textId="77777777" w:rsidR="0069039F" w:rsidRPr="0069039F" w:rsidRDefault="0069039F" w:rsidP="0069039F">
      <w:pPr>
        <w:shd w:val="clear" w:color="auto" w:fill="FFFFFF"/>
        <w:spacing w:after="384"/>
        <w:textAlignment w:val="baseline"/>
        <w:rPr>
          <w:rFonts w:ascii="Poppins" w:eastAsia="Times New Roman" w:hAnsi="Poppins" w:cs="Poppins"/>
          <w:color w:val="353535"/>
          <w:kern w:val="0"/>
          <w:lang w:eastAsia="en-GB"/>
          <w14:ligatures w14:val="none"/>
        </w:rPr>
      </w:pPr>
      <w:proofErr w:type="spellStart"/>
      <w:r w:rsidRPr="0069039F">
        <w:rPr>
          <w:rFonts w:ascii="Poppins" w:eastAsia="Times New Roman" w:hAnsi="Poppins" w:cs="Poppins"/>
          <w:color w:val="353535"/>
          <w:kern w:val="0"/>
          <w:lang w:val="en-US" w:eastAsia="en-GB"/>
          <w14:ligatures w14:val="none"/>
        </w:rPr>
        <w:t>Herambha</w:t>
      </w:r>
      <w:proofErr w:type="spellEnd"/>
      <w:r w:rsidRPr="0069039F">
        <w:rPr>
          <w:rFonts w:ascii="Poppins" w:eastAsia="Times New Roman" w:hAnsi="Poppins" w:cs="Poppins"/>
          <w:color w:val="353535"/>
          <w:kern w:val="0"/>
          <w:lang w:val="en-US" w:eastAsia="en-GB"/>
          <w14:ligatures w14:val="none"/>
        </w:rPr>
        <w:t> Leasing Private Limited has not partnered with any digital lending platforms.</w:t>
      </w:r>
      <w:r w:rsidRPr="0069039F">
        <w:rPr>
          <w:rFonts w:ascii="Poppins" w:eastAsia="Times New Roman" w:hAnsi="Poppins" w:cs="Poppins"/>
          <w:color w:val="353535"/>
          <w:kern w:val="0"/>
          <w:lang w:eastAsia="en-GB"/>
          <w14:ligatures w14:val="none"/>
        </w:rPr>
        <w:t> </w:t>
      </w:r>
    </w:p>
    <w:p w14:paraId="0E25D08F" w14:textId="77777777" w:rsidR="0069039F" w:rsidRPr="0069039F" w:rsidRDefault="0069039F" w:rsidP="0069039F">
      <w:pPr>
        <w:shd w:val="clear" w:color="auto" w:fill="FFFFFF"/>
        <w:spacing w:line="312" w:lineRule="atLeast"/>
        <w:textAlignment w:val="baseline"/>
        <w:outlineLvl w:val="1"/>
        <w:rPr>
          <w:rFonts w:ascii="Montserrat" w:eastAsia="Times New Roman" w:hAnsi="Montserrat" w:cs="Poppins"/>
          <w:b/>
          <w:bCs/>
          <w:caps/>
          <w:color w:val="1C0D0A"/>
          <w:kern w:val="0"/>
          <w:sz w:val="36"/>
          <w:szCs w:val="36"/>
          <w:lang w:eastAsia="en-GB"/>
          <w14:ligatures w14:val="none"/>
        </w:rPr>
      </w:pPr>
      <w:r w:rsidRPr="0069039F">
        <w:rPr>
          <w:rFonts w:ascii="Montserrat" w:eastAsia="Times New Roman" w:hAnsi="Montserrat" w:cs="Poppins"/>
          <w:b/>
          <w:bCs/>
          <w:caps/>
          <w:color w:val="1C0D0A"/>
          <w:kern w:val="0"/>
          <w:sz w:val="36"/>
          <w:szCs w:val="36"/>
          <w:lang w:eastAsia="en-GB"/>
          <w14:ligatures w14:val="none"/>
        </w:rPr>
        <w:t>Corporate Governance Policy</w:t>
      </w:r>
    </w:p>
    <w:p w14:paraId="5BBEBB04" w14:textId="77777777" w:rsidR="0069039F" w:rsidRPr="0069039F" w:rsidRDefault="0069039F" w:rsidP="0069039F">
      <w:pPr>
        <w:shd w:val="clear" w:color="auto" w:fill="FFFFFF"/>
        <w:spacing w:after="384"/>
        <w:textAlignment w:val="baseline"/>
        <w:rPr>
          <w:rFonts w:ascii="Poppins" w:eastAsia="Times New Roman" w:hAnsi="Poppins" w:cs="Poppins"/>
          <w:color w:val="353535"/>
          <w:kern w:val="0"/>
          <w:lang w:eastAsia="en-GB"/>
          <w14:ligatures w14:val="none"/>
        </w:rPr>
      </w:pPr>
      <w:r w:rsidRPr="0069039F">
        <w:rPr>
          <w:rFonts w:ascii="Poppins" w:eastAsia="Times New Roman" w:hAnsi="Poppins" w:cs="Poppins"/>
          <w:color w:val="353535"/>
          <w:kern w:val="0"/>
          <w:lang w:val="en-US" w:eastAsia="en-GB"/>
          <w14:ligatures w14:val="none"/>
        </w:rPr>
        <w:t>The company’s corporate governance policy is approved by the Board and is available for review at the Polices and Codes section of the website</w:t>
      </w:r>
      <w:r w:rsidRPr="0069039F">
        <w:rPr>
          <w:rFonts w:ascii="Poppins" w:eastAsia="Times New Roman" w:hAnsi="Poppins" w:cs="Poppins"/>
          <w:color w:val="353535"/>
          <w:kern w:val="0"/>
          <w:lang w:eastAsia="en-GB"/>
          <w14:ligatures w14:val="none"/>
        </w:rPr>
        <w:t> </w:t>
      </w:r>
    </w:p>
    <w:p w14:paraId="3F1963B7" w14:textId="77777777" w:rsidR="0069039F" w:rsidRPr="0069039F" w:rsidRDefault="0069039F" w:rsidP="0069039F">
      <w:pPr>
        <w:shd w:val="clear" w:color="auto" w:fill="FFFFFF"/>
        <w:spacing w:line="312" w:lineRule="atLeast"/>
        <w:textAlignment w:val="baseline"/>
        <w:outlineLvl w:val="1"/>
        <w:rPr>
          <w:rFonts w:ascii="Montserrat" w:eastAsia="Times New Roman" w:hAnsi="Montserrat" w:cs="Poppins"/>
          <w:b/>
          <w:bCs/>
          <w:caps/>
          <w:color w:val="1C0D0A"/>
          <w:kern w:val="0"/>
          <w:sz w:val="36"/>
          <w:szCs w:val="36"/>
          <w:lang w:eastAsia="en-GB"/>
          <w14:ligatures w14:val="none"/>
        </w:rPr>
      </w:pPr>
      <w:r w:rsidRPr="0069039F">
        <w:rPr>
          <w:rFonts w:ascii="Montserrat" w:eastAsia="Times New Roman" w:hAnsi="Montserrat" w:cs="Poppins"/>
          <w:b/>
          <w:bCs/>
          <w:caps/>
          <w:color w:val="1C0D0A"/>
          <w:kern w:val="0"/>
          <w:sz w:val="36"/>
          <w:szCs w:val="36"/>
          <w:lang w:eastAsia="en-GB"/>
          <w14:ligatures w14:val="none"/>
        </w:rPr>
        <w:t>Public Disclosures</w:t>
      </w:r>
    </w:p>
    <w:p w14:paraId="4C134676" w14:textId="77777777" w:rsidR="0069039F" w:rsidRPr="0069039F" w:rsidRDefault="0069039F" w:rsidP="0069039F">
      <w:pPr>
        <w:shd w:val="clear" w:color="auto" w:fill="FFFFFF"/>
        <w:spacing w:after="384"/>
        <w:textAlignment w:val="baseline"/>
        <w:rPr>
          <w:rFonts w:ascii="Poppins" w:eastAsia="Times New Roman" w:hAnsi="Poppins" w:cs="Poppins"/>
          <w:color w:val="353535"/>
          <w:kern w:val="0"/>
          <w:lang w:eastAsia="en-GB"/>
          <w14:ligatures w14:val="none"/>
        </w:rPr>
      </w:pPr>
      <w:r w:rsidRPr="0069039F">
        <w:rPr>
          <w:rFonts w:ascii="Poppins" w:eastAsia="Times New Roman" w:hAnsi="Poppins" w:cs="Poppins"/>
          <w:color w:val="353535"/>
          <w:kern w:val="0"/>
          <w:lang w:val="en-US" w:eastAsia="en-GB"/>
          <w14:ligatures w14:val="none"/>
        </w:rPr>
        <w:t>As per RBI regulations, the specified class of companies are required to disclose key liquidity and risk indicators in quarterly and annual financial statements. </w:t>
      </w:r>
      <w:proofErr w:type="spellStart"/>
      <w:r w:rsidRPr="0069039F">
        <w:rPr>
          <w:rFonts w:ascii="Poppins" w:eastAsia="Times New Roman" w:hAnsi="Poppins" w:cs="Poppins"/>
          <w:color w:val="353535"/>
          <w:kern w:val="0"/>
          <w:lang w:val="en-US" w:eastAsia="en-GB"/>
          <w14:ligatures w14:val="none"/>
        </w:rPr>
        <w:t>Herambha</w:t>
      </w:r>
      <w:proofErr w:type="spellEnd"/>
      <w:r w:rsidRPr="0069039F">
        <w:rPr>
          <w:rFonts w:ascii="Poppins" w:eastAsia="Times New Roman" w:hAnsi="Poppins" w:cs="Poppins"/>
          <w:color w:val="353535"/>
          <w:kern w:val="0"/>
          <w:lang w:val="en-US" w:eastAsia="en-GB"/>
          <w14:ligatures w14:val="none"/>
        </w:rPr>
        <w:t> Leasing Private Limited is not subject to the public disclosure clause on Liquidity Risk &amp; Liquidity Position because it does not accept public deposits.</w:t>
      </w:r>
      <w:r w:rsidRPr="0069039F">
        <w:rPr>
          <w:rFonts w:ascii="Poppins" w:eastAsia="Times New Roman" w:hAnsi="Poppins" w:cs="Poppins"/>
          <w:color w:val="353535"/>
          <w:kern w:val="0"/>
          <w:lang w:eastAsia="en-GB"/>
          <w14:ligatures w14:val="none"/>
        </w:rPr>
        <w:t> </w:t>
      </w:r>
    </w:p>
    <w:p w14:paraId="1A82F4B0" w14:textId="77777777" w:rsidR="0069039F" w:rsidRPr="0069039F" w:rsidRDefault="0069039F" w:rsidP="0069039F">
      <w:pPr>
        <w:shd w:val="clear" w:color="auto" w:fill="FFFFFF"/>
        <w:spacing w:line="312" w:lineRule="atLeast"/>
        <w:textAlignment w:val="baseline"/>
        <w:outlineLvl w:val="1"/>
        <w:rPr>
          <w:rFonts w:ascii="Montserrat" w:eastAsia="Times New Roman" w:hAnsi="Montserrat" w:cs="Poppins"/>
          <w:b/>
          <w:bCs/>
          <w:caps/>
          <w:color w:val="1C0D0A"/>
          <w:kern w:val="0"/>
          <w:sz w:val="36"/>
          <w:szCs w:val="36"/>
          <w:lang w:eastAsia="en-GB"/>
          <w14:ligatures w14:val="none"/>
        </w:rPr>
      </w:pPr>
      <w:r w:rsidRPr="0069039F">
        <w:rPr>
          <w:rFonts w:ascii="Montserrat" w:eastAsia="Times New Roman" w:hAnsi="Montserrat" w:cs="Poppins"/>
          <w:b/>
          <w:bCs/>
          <w:caps/>
          <w:color w:val="1C0D0A"/>
          <w:kern w:val="0"/>
          <w:sz w:val="36"/>
          <w:szCs w:val="36"/>
          <w:lang w:eastAsia="en-GB"/>
          <w14:ligatures w14:val="none"/>
        </w:rPr>
        <w:t>Related Party Transactions</w:t>
      </w:r>
    </w:p>
    <w:p w14:paraId="2CF1B2EB" w14:textId="77777777" w:rsidR="0069039F" w:rsidRPr="0069039F" w:rsidRDefault="0069039F" w:rsidP="0069039F">
      <w:pPr>
        <w:shd w:val="clear" w:color="auto" w:fill="FFFFFF"/>
        <w:spacing w:after="384"/>
        <w:textAlignment w:val="baseline"/>
        <w:rPr>
          <w:rFonts w:ascii="Poppins" w:eastAsia="Times New Roman" w:hAnsi="Poppins" w:cs="Poppins"/>
          <w:color w:val="353535"/>
          <w:kern w:val="0"/>
          <w:lang w:eastAsia="en-GB"/>
          <w14:ligatures w14:val="none"/>
        </w:rPr>
      </w:pPr>
      <w:r w:rsidRPr="0069039F">
        <w:rPr>
          <w:rFonts w:ascii="Poppins" w:eastAsia="Times New Roman" w:hAnsi="Poppins" w:cs="Poppins"/>
          <w:color w:val="353535"/>
          <w:kern w:val="0"/>
          <w:lang w:val="en-US" w:eastAsia="en-GB"/>
          <w14:ligatures w14:val="none"/>
        </w:rPr>
        <w:t>The company’s policy on related party transactions is discussed in the Internal Corporate Governance Guidelines and is disclosed in the annual report.</w:t>
      </w:r>
      <w:r w:rsidRPr="0069039F">
        <w:rPr>
          <w:rFonts w:ascii="Poppins" w:eastAsia="Times New Roman" w:hAnsi="Poppins" w:cs="Poppins"/>
          <w:color w:val="353535"/>
          <w:kern w:val="0"/>
          <w:lang w:eastAsia="en-GB"/>
          <w14:ligatures w14:val="none"/>
        </w:rPr>
        <w:t> </w:t>
      </w:r>
    </w:p>
    <w:p w14:paraId="4F69B6F0" w14:textId="77777777" w:rsidR="0069039F" w:rsidRPr="0069039F" w:rsidRDefault="0069039F" w:rsidP="0069039F">
      <w:pPr>
        <w:shd w:val="clear" w:color="auto" w:fill="FFFFFF"/>
        <w:spacing w:line="312" w:lineRule="atLeast"/>
        <w:textAlignment w:val="baseline"/>
        <w:outlineLvl w:val="1"/>
        <w:rPr>
          <w:rFonts w:ascii="Montserrat" w:eastAsia="Times New Roman" w:hAnsi="Montserrat" w:cs="Poppins"/>
          <w:b/>
          <w:bCs/>
          <w:caps/>
          <w:color w:val="1C0D0A"/>
          <w:kern w:val="0"/>
          <w:sz w:val="36"/>
          <w:szCs w:val="36"/>
          <w:lang w:eastAsia="en-GB"/>
          <w14:ligatures w14:val="none"/>
        </w:rPr>
      </w:pPr>
      <w:r w:rsidRPr="0069039F">
        <w:rPr>
          <w:rFonts w:ascii="Montserrat" w:eastAsia="Times New Roman" w:hAnsi="Montserrat" w:cs="Poppins"/>
          <w:b/>
          <w:bCs/>
          <w:caps/>
          <w:color w:val="1C0D0A"/>
          <w:kern w:val="0"/>
          <w:sz w:val="36"/>
          <w:szCs w:val="36"/>
          <w:lang w:eastAsia="en-GB"/>
          <w14:ligatures w14:val="none"/>
        </w:rPr>
        <w:t>Outsourcing Termination</w:t>
      </w:r>
    </w:p>
    <w:p w14:paraId="259BFFAA" w14:textId="77777777" w:rsidR="0069039F" w:rsidRPr="0069039F" w:rsidRDefault="0069039F" w:rsidP="0069039F">
      <w:pPr>
        <w:shd w:val="clear" w:color="auto" w:fill="FFFFFF"/>
        <w:spacing w:after="384"/>
        <w:textAlignment w:val="baseline"/>
        <w:rPr>
          <w:rFonts w:ascii="Poppins" w:eastAsia="Times New Roman" w:hAnsi="Poppins" w:cs="Poppins"/>
          <w:color w:val="353535"/>
          <w:kern w:val="0"/>
          <w:lang w:eastAsia="en-GB"/>
          <w14:ligatures w14:val="none"/>
        </w:rPr>
      </w:pPr>
      <w:r w:rsidRPr="0069039F">
        <w:rPr>
          <w:rFonts w:ascii="Poppins" w:eastAsia="Times New Roman" w:hAnsi="Poppins" w:cs="Poppins"/>
          <w:color w:val="353535"/>
          <w:kern w:val="0"/>
          <w:lang w:val="en-US" w:eastAsia="en-GB"/>
          <w14:ligatures w14:val="none"/>
        </w:rPr>
        <w:t>This is not applicable to </w:t>
      </w:r>
      <w:proofErr w:type="spellStart"/>
      <w:r w:rsidRPr="0069039F">
        <w:rPr>
          <w:rFonts w:ascii="Poppins" w:eastAsia="Times New Roman" w:hAnsi="Poppins" w:cs="Poppins"/>
          <w:color w:val="353535"/>
          <w:kern w:val="0"/>
          <w:lang w:val="en-US" w:eastAsia="en-GB"/>
          <w14:ligatures w14:val="none"/>
        </w:rPr>
        <w:t>Herambha</w:t>
      </w:r>
      <w:proofErr w:type="spellEnd"/>
      <w:r w:rsidRPr="0069039F">
        <w:rPr>
          <w:rFonts w:ascii="Poppins" w:eastAsia="Times New Roman" w:hAnsi="Poppins" w:cs="Poppins"/>
          <w:color w:val="353535"/>
          <w:kern w:val="0"/>
          <w:lang w:val="en-US" w:eastAsia="en-GB"/>
          <w14:ligatures w14:val="none"/>
        </w:rPr>
        <w:t> Leasing Private Limited</w:t>
      </w:r>
      <w:r w:rsidRPr="0069039F">
        <w:rPr>
          <w:rFonts w:ascii="Poppins" w:eastAsia="Times New Roman" w:hAnsi="Poppins" w:cs="Poppins"/>
          <w:color w:val="353535"/>
          <w:kern w:val="0"/>
          <w:lang w:eastAsia="en-GB"/>
          <w14:ligatures w14:val="none"/>
        </w:rPr>
        <w:t> </w:t>
      </w:r>
    </w:p>
    <w:p w14:paraId="6CABD481" w14:textId="77777777" w:rsidR="0069039F" w:rsidRPr="0069039F" w:rsidRDefault="0069039F" w:rsidP="0069039F">
      <w:pPr>
        <w:shd w:val="clear" w:color="auto" w:fill="FFFFFF"/>
        <w:spacing w:line="312" w:lineRule="atLeast"/>
        <w:textAlignment w:val="baseline"/>
        <w:outlineLvl w:val="1"/>
        <w:rPr>
          <w:rFonts w:ascii="Montserrat" w:eastAsia="Times New Roman" w:hAnsi="Montserrat" w:cs="Poppins"/>
          <w:b/>
          <w:bCs/>
          <w:caps/>
          <w:color w:val="1C0D0A"/>
          <w:kern w:val="0"/>
          <w:sz w:val="36"/>
          <w:szCs w:val="36"/>
          <w:lang w:eastAsia="en-GB"/>
          <w14:ligatures w14:val="none"/>
        </w:rPr>
      </w:pPr>
      <w:r w:rsidRPr="0069039F">
        <w:rPr>
          <w:rFonts w:ascii="Montserrat" w:eastAsia="Times New Roman" w:hAnsi="Montserrat" w:cs="Poppins"/>
          <w:b/>
          <w:bCs/>
          <w:caps/>
          <w:color w:val="1C0D0A"/>
          <w:kern w:val="0"/>
          <w:sz w:val="36"/>
          <w:szCs w:val="36"/>
          <w:lang w:eastAsia="en-GB"/>
          <w14:ligatures w14:val="none"/>
        </w:rPr>
        <w:t>Grievance Redressal</w:t>
      </w:r>
    </w:p>
    <w:p w14:paraId="1704381A" w14:textId="77777777" w:rsidR="0069039F" w:rsidRPr="0069039F" w:rsidRDefault="0069039F" w:rsidP="0069039F">
      <w:pPr>
        <w:shd w:val="clear" w:color="auto" w:fill="FFFFFF"/>
        <w:spacing w:after="384"/>
        <w:textAlignment w:val="baseline"/>
        <w:rPr>
          <w:rFonts w:ascii="Poppins" w:eastAsia="Times New Roman" w:hAnsi="Poppins" w:cs="Poppins"/>
          <w:color w:val="353535"/>
          <w:kern w:val="0"/>
          <w:lang w:eastAsia="en-GB"/>
          <w14:ligatures w14:val="none"/>
        </w:rPr>
      </w:pPr>
      <w:r w:rsidRPr="0069039F">
        <w:rPr>
          <w:rFonts w:ascii="Poppins" w:eastAsia="Times New Roman" w:hAnsi="Poppins" w:cs="Poppins"/>
          <w:color w:val="353535"/>
          <w:kern w:val="0"/>
          <w:lang w:val="en-US" w:eastAsia="en-GB"/>
          <w14:ligatures w14:val="none"/>
        </w:rPr>
        <w:t>Customers can file complaints, which will be addressed within 30 days. A committee, chaired by Director C. Lakshminarayana Rao, has been formed to handle grievances within the 30-day timeframe.</w:t>
      </w:r>
      <w:r w:rsidRPr="0069039F">
        <w:rPr>
          <w:rFonts w:ascii="Poppins" w:eastAsia="Times New Roman" w:hAnsi="Poppins" w:cs="Poppins"/>
          <w:color w:val="353535"/>
          <w:kern w:val="0"/>
          <w:lang w:eastAsia="en-GB"/>
          <w14:ligatures w14:val="none"/>
        </w:rPr>
        <w:t> </w:t>
      </w:r>
    </w:p>
    <w:p w14:paraId="17E8EBD4" w14:textId="77777777" w:rsidR="0069039F" w:rsidRPr="0069039F" w:rsidRDefault="0069039F" w:rsidP="0069039F">
      <w:pPr>
        <w:shd w:val="clear" w:color="auto" w:fill="FFFFFF"/>
        <w:spacing w:line="312" w:lineRule="atLeast"/>
        <w:textAlignment w:val="baseline"/>
        <w:outlineLvl w:val="1"/>
        <w:rPr>
          <w:rFonts w:ascii="Montserrat" w:eastAsia="Times New Roman" w:hAnsi="Montserrat" w:cs="Poppins"/>
          <w:b/>
          <w:bCs/>
          <w:caps/>
          <w:color w:val="1C0D0A"/>
          <w:kern w:val="0"/>
          <w:sz w:val="36"/>
          <w:szCs w:val="36"/>
          <w:lang w:eastAsia="en-GB"/>
          <w14:ligatures w14:val="none"/>
        </w:rPr>
      </w:pPr>
      <w:r w:rsidRPr="0069039F">
        <w:rPr>
          <w:rFonts w:ascii="Montserrat" w:eastAsia="Times New Roman" w:hAnsi="Montserrat" w:cs="Poppins"/>
          <w:b/>
          <w:bCs/>
          <w:caps/>
          <w:color w:val="1C0D0A"/>
          <w:kern w:val="0"/>
          <w:sz w:val="36"/>
          <w:szCs w:val="36"/>
          <w:lang w:eastAsia="en-GB"/>
          <w14:ligatures w14:val="none"/>
        </w:rPr>
        <w:t>Wilful Defaulters</w:t>
      </w:r>
    </w:p>
    <w:p w14:paraId="5DABE833" w14:textId="77777777" w:rsidR="0069039F" w:rsidRPr="0069039F" w:rsidRDefault="0069039F" w:rsidP="0069039F">
      <w:pPr>
        <w:shd w:val="clear" w:color="auto" w:fill="FFFFFF"/>
        <w:spacing w:after="384"/>
        <w:textAlignment w:val="baseline"/>
        <w:rPr>
          <w:rFonts w:ascii="Poppins" w:eastAsia="Times New Roman" w:hAnsi="Poppins" w:cs="Poppins"/>
          <w:color w:val="353535"/>
          <w:kern w:val="0"/>
          <w:lang w:eastAsia="en-GB"/>
          <w14:ligatures w14:val="none"/>
        </w:rPr>
      </w:pPr>
      <w:r w:rsidRPr="0069039F">
        <w:rPr>
          <w:rFonts w:ascii="Poppins" w:eastAsia="Times New Roman" w:hAnsi="Poppins" w:cs="Poppins"/>
          <w:color w:val="353535"/>
          <w:kern w:val="0"/>
          <w:lang w:val="en-US" w:eastAsia="en-GB"/>
          <w14:ligatures w14:val="none"/>
        </w:rPr>
        <w:t>The company publishes a list and photographs of </w:t>
      </w:r>
      <w:proofErr w:type="spellStart"/>
      <w:r w:rsidRPr="0069039F">
        <w:rPr>
          <w:rFonts w:ascii="Poppins" w:eastAsia="Times New Roman" w:hAnsi="Poppins" w:cs="Poppins"/>
          <w:color w:val="353535"/>
          <w:kern w:val="0"/>
          <w:lang w:val="en-US" w:eastAsia="en-GB"/>
          <w14:ligatures w14:val="none"/>
        </w:rPr>
        <w:t>wilful</w:t>
      </w:r>
      <w:proofErr w:type="spellEnd"/>
      <w:r w:rsidRPr="0069039F">
        <w:rPr>
          <w:rFonts w:ascii="Poppins" w:eastAsia="Times New Roman" w:hAnsi="Poppins" w:cs="Poppins"/>
          <w:color w:val="353535"/>
          <w:kern w:val="0"/>
          <w:lang w:val="en-US" w:eastAsia="en-GB"/>
          <w14:ligatures w14:val="none"/>
        </w:rPr>
        <w:t xml:space="preserve"> defaulters in compliance with regulatory norms. A committee is responsible </w:t>
      </w:r>
      <w:r w:rsidRPr="0069039F">
        <w:rPr>
          <w:rFonts w:ascii="Poppins" w:eastAsia="Times New Roman" w:hAnsi="Poppins" w:cs="Poppins"/>
          <w:color w:val="353535"/>
          <w:kern w:val="0"/>
          <w:lang w:val="en-US" w:eastAsia="en-GB"/>
          <w14:ligatures w14:val="none"/>
        </w:rPr>
        <w:lastRenderedPageBreak/>
        <w:t>for identifying </w:t>
      </w:r>
      <w:proofErr w:type="spellStart"/>
      <w:r w:rsidRPr="0069039F">
        <w:rPr>
          <w:rFonts w:ascii="Poppins" w:eastAsia="Times New Roman" w:hAnsi="Poppins" w:cs="Poppins"/>
          <w:color w:val="353535"/>
          <w:kern w:val="0"/>
          <w:lang w:val="en-US" w:eastAsia="en-GB"/>
          <w14:ligatures w14:val="none"/>
        </w:rPr>
        <w:t>wilful</w:t>
      </w:r>
      <w:proofErr w:type="spellEnd"/>
      <w:r w:rsidRPr="0069039F">
        <w:rPr>
          <w:rFonts w:ascii="Poppins" w:eastAsia="Times New Roman" w:hAnsi="Poppins" w:cs="Poppins"/>
          <w:color w:val="353535"/>
          <w:kern w:val="0"/>
          <w:lang w:val="en-US" w:eastAsia="en-GB"/>
          <w14:ligatures w14:val="none"/>
        </w:rPr>
        <w:t> defaulters, and after due notice, their photographs will be displayed on the company’s notice board.</w:t>
      </w:r>
      <w:r w:rsidRPr="0069039F">
        <w:rPr>
          <w:rFonts w:ascii="Poppins" w:eastAsia="Times New Roman" w:hAnsi="Poppins" w:cs="Poppins"/>
          <w:color w:val="353535"/>
          <w:kern w:val="0"/>
          <w:lang w:eastAsia="en-GB"/>
          <w14:ligatures w14:val="none"/>
        </w:rPr>
        <w:t> </w:t>
      </w:r>
    </w:p>
    <w:p w14:paraId="26F7D19C" w14:textId="1E48EFF3" w:rsidR="0069039F" w:rsidRPr="0069039F" w:rsidRDefault="0069039F" w:rsidP="0069039F">
      <w:pPr>
        <w:jc w:val="center"/>
        <w:rPr>
          <w:rFonts w:ascii="Times New Roman" w:eastAsia="Times New Roman" w:hAnsi="Times New Roman" w:cs="Times New Roman"/>
          <w:kern w:val="0"/>
          <w:lang w:eastAsia="en-GB"/>
          <w14:ligatures w14:val="none"/>
        </w:rPr>
      </w:pPr>
      <w:r w:rsidRPr="0069039F">
        <w:rPr>
          <w:rFonts w:ascii="Times New Roman" w:eastAsia="Times New Roman" w:hAnsi="Times New Roman" w:cs="Times New Roman"/>
          <w:kern w:val="0"/>
          <w:lang w:eastAsia="en-GB"/>
          <w14:ligatures w14:val="none"/>
        </w:rPr>
        <w:fldChar w:fldCharType="begin"/>
      </w:r>
      <w:r w:rsidRPr="0069039F">
        <w:rPr>
          <w:rFonts w:ascii="Times New Roman" w:eastAsia="Times New Roman" w:hAnsi="Times New Roman" w:cs="Times New Roman"/>
          <w:kern w:val="0"/>
          <w:lang w:eastAsia="en-GB"/>
          <w14:ligatures w14:val="none"/>
        </w:rPr>
        <w:instrText xml:space="preserve"> INCLUDEPICTURE "https://herambhaleasing.com/wp-content/uploads/2025/09/Add-a-heading-1-1024x240.png" \* MERGEFORMATINET </w:instrText>
      </w:r>
      <w:r w:rsidRPr="0069039F">
        <w:rPr>
          <w:rFonts w:ascii="Times New Roman" w:eastAsia="Times New Roman" w:hAnsi="Times New Roman" w:cs="Times New Roman"/>
          <w:kern w:val="0"/>
          <w:lang w:eastAsia="en-GB"/>
          <w14:ligatures w14:val="none"/>
        </w:rPr>
        <w:fldChar w:fldCharType="separate"/>
      </w:r>
      <w:r w:rsidRPr="0069039F">
        <w:rPr>
          <w:rFonts w:ascii="Times New Roman" w:eastAsia="Times New Roman" w:hAnsi="Times New Roman" w:cs="Times New Roman"/>
          <w:noProof/>
          <w:kern w:val="0"/>
          <w:lang w:eastAsia="en-GB"/>
          <w14:ligatures w14:val="none"/>
        </w:rPr>
        <w:drawing>
          <wp:inline distT="0" distB="0" distL="0" distR="0" wp14:anchorId="28091A96" wp14:editId="546ABFB2">
            <wp:extent cx="5731510" cy="1343660"/>
            <wp:effectExtent l="0" t="0" r="0" b="0"/>
            <wp:docPr id="9873580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1343660"/>
                    </a:xfrm>
                    <a:prstGeom prst="rect">
                      <a:avLst/>
                    </a:prstGeom>
                    <a:noFill/>
                    <a:ln>
                      <a:noFill/>
                    </a:ln>
                  </pic:spPr>
                </pic:pic>
              </a:graphicData>
            </a:graphic>
          </wp:inline>
        </w:drawing>
      </w:r>
      <w:r w:rsidRPr="0069039F">
        <w:rPr>
          <w:rFonts w:ascii="Times New Roman" w:eastAsia="Times New Roman" w:hAnsi="Times New Roman" w:cs="Times New Roman"/>
          <w:kern w:val="0"/>
          <w:lang w:eastAsia="en-GB"/>
          <w14:ligatures w14:val="none"/>
        </w:rPr>
        <w:fldChar w:fldCharType="end"/>
      </w:r>
    </w:p>
    <w:p w14:paraId="0C31026D" w14:textId="77777777" w:rsidR="0069039F" w:rsidRPr="0069039F" w:rsidRDefault="0069039F" w:rsidP="0069039F">
      <w:pPr>
        <w:spacing w:after="420"/>
        <w:textAlignment w:val="baseline"/>
        <w:rPr>
          <w:rFonts w:ascii="Times New Roman" w:eastAsia="Times New Roman" w:hAnsi="Times New Roman" w:cs="Times New Roman"/>
          <w:kern w:val="0"/>
          <w:lang w:eastAsia="en-GB"/>
          <w14:ligatures w14:val="none"/>
        </w:rPr>
      </w:pPr>
      <w:proofErr w:type="spellStart"/>
      <w:r w:rsidRPr="0069039F">
        <w:rPr>
          <w:rFonts w:ascii="Times New Roman" w:eastAsia="Times New Roman" w:hAnsi="Times New Roman" w:cs="Times New Roman"/>
          <w:b/>
          <w:bCs/>
          <w:kern w:val="0"/>
          <w:lang w:eastAsia="en-GB"/>
          <w14:ligatures w14:val="none"/>
        </w:rPr>
        <w:t>Herambha</w:t>
      </w:r>
      <w:proofErr w:type="spellEnd"/>
      <w:r w:rsidRPr="0069039F">
        <w:rPr>
          <w:rFonts w:ascii="Times New Roman" w:eastAsia="Times New Roman" w:hAnsi="Times New Roman" w:cs="Times New Roman"/>
          <w:b/>
          <w:bCs/>
          <w:kern w:val="0"/>
          <w:lang w:eastAsia="en-GB"/>
          <w14:ligatures w14:val="none"/>
        </w:rPr>
        <w:t xml:space="preserve"> Leasing Private Limited</w:t>
      </w:r>
      <w:r w:rsidRPr="0069039F">
        <w:rPr>
          <w:rFonts w:ascii="Times New Roman" w:eastAsia="Times New Roman" w:hAnsi="Times New Roman" w:cs="Times New Roman"/>
          <w:kern w:val="0"/>
          <w:lang w:eastAsia="en-GB"/>
          <w14:ligatures w14:val="none"/>
        </w:rPr>
        <w:t> was founded in 1990 as a Public Limited Company in Tumkur, Karnataka.</w:t>
      </w:r>
    </w:p>
    <w:p w14:paraId="4F36BE47" w14:textId="77777777" w:rsidR="0069039F" w:rsidRPr="0069039F" w:rsidRDefault="0069039F" w:rsidP="0069039F">
      <w:pPr>
        <w:rPr>
          <w:rFonts w:ascii="Times New Roman" w:eastAsia="Times New Roman" w:hAnsi="Times New Roman" w:cs="Times New Roman"/>
          <w:kern w:val="0"/>
          <w:sz w:val="2"/>
          <w:szCs w:val="2"/>
          <w:lang w:eastAsia="en-GB"/>
          <w14:ligatures w14:val="none"/>
        </w:rPr>
      </w:pPr>
      <w:r w:rsidRPr="0069039F">
        <w:rPr>
          <w:rFonts w:ascii="Times New Roman" w:eastAsia="Times New Roman" w:hAnsi="Times New Roman" w:cs="Times New Roman"/>
          <w:kern w:val="0"/>
          <w:sz w:val="2"/>
          <w:szCs w:val="2"/>
          <w:bdr w:val="none" w:sz="0" w:space="0" w:color="auto" w:frame="1"/>
          <w:lang w:eastAsia="en-GB"/>
          <w14:ligatures w14:val="none"/>
        </w:rPr>
        <w:t>Facebook</w:t>
      </w:r>
      <w:r w:rsidRPr="0069039F">
        <w:rPr>
          <w:rFonts w:ascii="Times New Roman" w:eastAsia="Times New Roman" w:hAnsi="Times New Roman" w:cs="Times New Roman"/>
          <w:kern w:val="0"/>
          <w:sz w:val="2"/>
          <w:szCs w:val="2"/>
          <w:lang w:eastAsia="en-GB"/>
          <w14:ligatures w14:val="none"/>
        </w:rPr>
        <w:t> </w:t>
      </w:r>
      <w:r w:rsidRPr="0069039F">
        <w:rPr>
          <w:rFonts w:ascii="Times New Roman" w:eastAsia="Times New Roman" w:hAnsi="Times New Roman" w:cs="Times New Roman"/>
          <w:kern w:val="0"/>
          <w:sz w:val="2"/>
          <w:szCs w:val="2"/>
          <w:bdr w:val="none" w:sz="0" w:space="0" w:color="auto" w:frame="1"/>
          <w:lang w:eastAsia="en-GB"/>
          <w14:ligatures w14:val="none"/>
        </w:rPr>
        <w:t>Twitter</w:t>
      </w:r>
      <w:r w:rsidRPr="0069039F">
        <w:rPr>
          <w:rFonts w:ascii="Times New Roman" w:eastAsia="Times New Roman" w:hAnsi="Times New Roman" w:cs="Times New Roman"/>
          <w:kern w:val="0"/>
          <w:sz w:val="2"/>
          <w:szCs w:val="2"/>
          <w:lang w:eastAsia="en-GB"/>
          <w14:ligatures w14:val="none"/>
        </w:rPr>
        <w:t> </w:t>
      </w:r>
      <w:proofErr w:type="spellStart"/>
      <w:r w:rsidRPr="0069039F">
        <w:rPr>
          <w:rFonts w:ascii="Times New Roman" w:eastAsia="Times New Roman" w:hAnsi="Times New Roman" w:cs="Times New Roman"/>
          <w:kern w:val="0"/>
          <w:sz w:val="2"/>
          <w:szCs w:val="2"/>
          <w:bdr w:val="none" w:sz="0" w:space="0" w:color="auto" w:frame="1"/>
          <w:lang w:eastAsia="en-GB"/>
          <w14:ligatures w14:val="none"/>
        </w:rPr>
        <w:t>Youtube</w:t>
      </w:r>
      <w:proofErr w:type="spellEnd"/>
    </w:p>
    <w:p w14:paraId="022E89DB" w14:textId="77777777" w:rsidR="0069039F" w:rsidRPr="0069039F" w:rsidRDefault="0069039F" w:rsidP="0069039F">
      <w:pPr>
        <w:spacing w:line="312" w:lineRule="atLeast"/>
        <w:textAlignment w:val="baseline"/>
        <w:outlineLvl w:val="1"/>
        <w:rPr>
          <w:rFonts w:ascii="Montserrat" w:eastAsia="Times New Roman" w:hAnsi="Montserrat" w:cs="Times New Roman"/>
          <w:b/>
          <w:bCs/>
          <w:caps/>
          <w:color w:val="1C0D0A"/>
          <w:kern w:val="0"/>
          <w:sz w:val="30"/>
          <w:szCs w:val="30"/>
          <w:lang w:eastAsia="en-GB"/>
          <w14:ligatures w14:val="none"/>
        </w:rPr>
      </w:pPr>
      <w:r w:rsidRPr="0069039F">
        <w:rPr>
          <w:rFonts w:ascii="Montserrat" w:eastAsia="Times New Roman" w:hAnsi="Montserrat" w:cs="Times New Roman"/>
          <w:b/>
          <w:bCs/>
          <w:caps/>
          <w:color w:val="1C0D0A"/>
          <w:kern w:val="0"/>
          <w:sz w:val="30"/>
          <w:szCs w:val="30"/>
          <w:lang w:eastAsia="en-GB"/>
          <w14:ligatures w14:val="none"/>
        </w:rPr>
        <w:t>USEFUL LINKS</w:t>
      </w:r>
    </w:p>
    <w:p w14:paraId="4E6B44CA" w14:textId="77777777" w:rsidR="0069039F" w:rsidRPr="0069039F" w:rsidRDefault="0069039F" w:rsidP="0069039F">
      <w:pPr>
        <w:numPr>
          <w:ilvl w:val="0"/>
          <w:numId w:val="12"/>
        </w:numPr>
        <w:textAlignment w:val="baseline"/>
        <w:rPr>
          <w:rFonts w:ascii="Times New Roman" w:eastAsia="Times New Roman" w:hAnsi="Times New Roman" w:cs="Times New Roman"/>
          <w:kern w:val="0"/>
          <w:lang w:eastAsia="en-GB"/>
          <w14:ligatures w14:val="none"/>
        </w:rPr>
      </w:pPr>
      <w:hyperlink r:id="rId11" w:history="1">
        <w:r w:rsidRPr="0069039F">
          <w:rPr>
            <w:rFonts w:ascii="Times New Roman" w:eastAsia="Times New Roman" w:hAnsi="Times New Roman" w:cs="Times New Roman"/>
            <w:color w:val="030303"/>
            <w:kern w:val="0"/>
            <w:lang w:eastAsia="en-GB"/>
            <w14:ligatures w14:val="none"/>
          </w:rPr>
          <w:t>About Us</w:t>
        </w:r>
      </w:hyperlink>
    </w:p>
    <w:p w14:paraId="043AD600" w14:textId="77777777" w:rsidR="0069039F" w:rsidRPr="0069039F" w:rsidRDefault="0069039F" w:rsidP="0069039F">
      <w:pPr>
        <w:numPr>
          <w:ilvl w:val="0"/>
          <w:numId w:val="12"/>
        </w:numPr>
        <w:textAlignment w:val="baseline"/>
        <w:rPr>
          <w:rFonts w:ascii="Times New Roman" w:eastAsia="Times New Roman" w:hAnsi="Times New Roman" w:cs="Times New Roman"/>
          <w:kern w:val="0"/>
          <w:lang w:eastAsia="en-GB"/>
          <w14:ligatures w14:val="none"/>
        </w:rPr>
      </w:pPr>
      <w:hyperlink r:id="rId12" w:history="1">
        <w:r w:rsidRPr="0069039F">
          <w:rPr>
            <w:rFonts w:ascii="Times New Roman" w:eastAsia="Times New Roman" w:hAnsi="Times New Roman" w:cs="Times New Roman"/>
            <w:color w:val="030303"/>
            <w:kern w:val="0"/>
            <w:lang w:eastAsia="en-GB"/>
            <w14:ligatures w14:val="none"/>
          </w:rPr>
          <w:t>Disclosures as Required by RBI</w:t>
        </w:r>
      </w:hyperlink>
    </w:p>
    <w:p w14:paraId="60307598" w14:textId="77777777" w:rsidR="0069039F" w:rsidRPr="0069039F" w:rsidRDefault="0069039F" w:rsidP="0069039F">
      <w:pPr>
        <w:numPr>
          <w:ilvl w:val="0"/>
          <w:numId w:val="12"/>
        </w:numPr>
        <w:textAlignment w:val="baseline"/>
        <w:rPr>
          <w:rFonts w:ascii="Times New Roman" w:eastAsia="Times New Roman" w:hAnsi="Times New Roman" w:cs="Times New Roman"/>
          <w:kern w:val="0"/>
          <w:lang w:eastAsia="en-GB"/>
          <w14:ligatures w14:val="none"/>
        </w:rPr>
      </w:pPr>
      <w:hyperlink r:id="rId13" w:history="1">
        <w:r w:rsidRPr="0069039F">
          <w:rPr>
            <w:rFonts w:ascii="Times New Roman" w:eastAsia="Times New Roman" w:hAnsi="Times New Roman" w:cs="Times New Roman"/>
            <w:color w:val="030303"/>
            <w:kern w:val="0"/>
            <w:lang w:eastAsia="en-GB"/>
            <w14:ligatures w14:val="none"/>
          </w:rPr>
          <w:t>Fair Practices Code</w:t>
        </w:r>
      </w:hyperlink>
    </w:p>
    <w:p w14:paraId="3E1C3FE1" w14:textId="77777777" w:rsidR="0069039F" w:rsidRPr="0069039F" w:rsidRDefault="0069039F" w:rsidP="0069039F">
      <w:pPr>
        <w:numPr>
          <w:ilvl w:val="0"/>
          <w:numId w:val="12"/>
        </w:numPr>
        <w:textAlignment w:val="baseline"/>
        <w:rPr>
          <w:rFonts w:ascii="Times New Roman" w:eastAsia="Times New Roman" w:hAnsi="Times New Roman" w:cs="Times New Roman"/>
          <w:kern w:val="0"/>
          <w:lang w:eastAsia="en-GB"/>
          <w14:ligatures w14:val="none"/>
        </w:rPr>
      </w:pPr>
      <w:hyperlink r:id="rId14" w:history="1">
        <w:r w:rsidRPr="0069039F">
          <w:rPr>
            <w:rFonts w:ascii="Times New Roman" w:eastAsia="Times New Roman" w:hAnsi="Times New Roman" w:cs="Times New Roman"/>
            <w:color w:val="030303"/>
            <w:kern w:val="0"/>
            <w:lang w:eastAsia="en-GB"/>
            <w14:ligatures w14:val="none"/>
          </w:rPr>
          <w:t>Contact Us</w:t>
        </w:r>
      </w:hyperlink>
    </w:p>
    <w:p w14:paraId="5CCB77A6" w14:textId="77777777" w:rsidR="0069039F" w:rsidRPr="0069039F" w:rsidRDefault="0069039F" w:rsidP="0069039F">
      <w:pPr>
        <w:spacing w:line="312" w:lineRule="atLeast"/>
        <w:textAlignment w:val="baseline"/>
        <w:outlineLvl w:val="1"/>
        <w:rPr>
          <w:rFonts w:ascii="Montserrat" w:eastAsia="Times New Roman" w:hAnsi="Montserrat" w:cs="Times New Roman"/>
          <w:b/>
          <w:bCs/>
          <w:caps/>
          <w:color w:val="1C0D0A"/>
          <w:kern w:val="0"/>
          <w:sz w:val="30"/>
          <w:szCs w:val="30"/>
          <w:lang w:eastAsia="en-GB"/>
          <w14:ligatures w14:val="none"/>
        </w:rPr>
      </w:pPr>
      <w:r w:rsidRPr="0069039F">
        <w:rPr>
          <w:rFonts w:ascii="Montserrat" w:eastAsia="Times New Roman" w:hAnsi="Montserrat" w:cs="Times New Roman"/>
          <w:b/>
          <w:bCs/>
          <w:caps/>
          <w:color w:val="1C0D0A"/>
          <w:kern w:val="0"/>
          <w:sz w:val="30"/>
          <w:szCs w:val="30"/>
          <w:lang w:eastAsia="en-GB"/>
          <w14:ligatures w14:val="none"/>
        </w:rPr>
        <w:t>Extra LINKS</w:t>
      </w:r>
    </w:p>
    <w:p w14:paraId="04B9FE24" w14:textId="77777777" w:rsidR="0069039F" w:rsidRPr="0069039F" w:rsidRDefault="0069039F" w:rsidP="0069039F">
      <w:pPr>
        <w:numPr>
          <w:ilvl w:val="0"/>
          <w:numId w:val="13"/>
        </w:numPr>
        <w:textAlignment w:val="baseline"/>
        <w:rPr>
          <w:rFonts w:ascii="Times New Roman" w:eastAsia="Times New Roman" w:hAnsi="Times New Roman" w:cs="Times New Roman"/>
          <w:kern w:val="0"/>
          <w:lang w:eastAsia="en-GB"/>
          <w14:ligatures w14:val="none"/>
        </w:rPr>
      </w:pPr>
      <w:proofErr w:type="spellStart"/>
      <w:r w:rsidRPr="0069039F">
        <w:rPr>
          <w:rFonts w:ascii="Times New Roman" w:eastAsia="Times New Roman" w:hAnsi="Times New Roman" w:cs="Times New Roman"/>
          <w:color w:val="121212"/>
          <w:kern w:val="0"/>
          <w:lang w:eastAsia="en-GB"/>
          <w14:ligatures w14:val="none"/>
        </w:rPr>
        <w:t>Privicy</w:t>
      </w:r>
      <w:proofErr w:type="spellEnd"/>
      <w:r w:rsidRPr="0069039F">
        <w:rPr>
          <w:rFonts w:ascii="Times New Roman" w:eastAsia="Times New Roman" w:hAnsi="Times New Roman" w:cs="Times New Roman"/>
          <w:color w:val="121212"/>
          <w:kern w:val="0"/>
          <w:lang w:eastAsia="en-GB"/>
          <w14:ligatures w14:val="none"/>
        </w:rPr>
        <w:t xml:space="preserve"> Policy</w:t>
      </w:r>
    </w:p>
    <w:p w14:paraId="6E574E97" w14:textId="77777777" w:rsidR="0069039F" w:rsidRPr="0069039F" w:rsidRDefault="0069039F" w:rsidP="0069039F">
      <w:pPr>
        <w:numPr>
          <w:ilvl w:val="0"/>
          <w:numId w:val="13"/>
        </w:numPr>
        <w:textAlignment w:val="baseline"/>
        <w:rPr>
          <w:rFonts w:ascii="Times New Roman" w:eastAsia="Times New Roman" w:hAnsi="Times New Roman" w:cs="Times New Roman"/>
          <w:kern w:val="0"/>
          <w:lang w:eastAsia="en-GB"/>
          <w14:ligatures w14:val="none"/>
        </w:rPr>
      </w:pPr>
      <w:r w:rsidRPr="0069039F">
        <w:rPr>
          <w:rFonts w:ascii="Times New Roman" w:eastAsia="Times New Roman" w:hAnsi="Times New Roman" w:cs="Times New Roman"/>
          <w:color w:val="121212"/>
          <w:kern w:val="0"/>
          <w:lang w:eastAsia="en-GB"/>
          <w14:ligatures w14:val="none"/>
        </w:rPr>
        <w:t>Term &amp; Condition</w:t>
      </w:r>
    </w:p>
    <w:p w14:paraId="266EFACE" w14:textId="77777777" w:rsidR="0069039F" w:rsidRPr="0069039F" w:rsidRDefault="0069039F" w:rsidP="0069039F">
      <w:pPr>
        <w:numPr>
          <w:ilvl w:val="0"/>
          <w:numId w:val="13"/>
        </w:numPr>
        <w:textAlignment w:val="baseline"/>
        <w:rPr>
          <w:rFonts w:ascii="Times New Roman" w:eastAsia="Times New Roman" w:hAnsi="Times New Roman" w:cs="Times New Roman"/>
          <w:kern w:val="0"/>
          <w:lang w:eastAsia="en-GB"/>
          <w14:ligatures w14:val="none"/>
        </w:rPr>
      </w:pPr>
      <w:r w:rsidRPr="0069039F">
        <w:rPr>
          <w:rFonts w:ascii="Times New Roman" w:eastAsia="Times New Roman" w:hAnsi="Times New Roman" w:cs="Times New Roman"/>
          <w:color w:val="121212"/>
          <w:kern w:val="0"/>
          <w:lang w:eastAsia="en-GB"/>
          <w14:ligatures w14:val="none"/>
        </w:rPr>
        <w:t>Blogs</w:t>
      </w:r>
    </w:p>
    <w:p w14:paraId="0A9885BC" w14:textId="77777777" w:rsidR="0069039F" w:rsidRPr="0069039F" w:rsidRDefault="0069039F" w:rsidP="0069039F">
      <w:pPr>
        <w:numPr>
          <w:ilvl w:val="0"/>
          <w:numId w:val="13"/>
        </w:numPr>
        <w:textAlignment w:val="baseline"/>
        <w:rPr>
          <w:rFonts w:ascii="Times New Roman" w:eastAsia="Times New Roman" w:hAnsi="Times New Roman" w:cs="Times New Roman"/>
          <w:kern w:val="0"/>
          <w:lang w:eastAsia="en-GB"/>
          <w14:ligatures w14:val="none"/>
        </w:rPr>
      </w:pPr>
      <w:r w:rsidRPr="0069039F">
        <w:rPr>
          <w:rFonts w:ascii="Times New Roman" w:eastAsia="Times New Roman" w:hAnsi="Times New Roman" w:cs="Times New Roman"/>
          <w:color w:val="121212"/>
          <w:kern w:val="0"/>
          <w:lang w:eastAsia="en-GB"/>
          <w14:ligatures w14:val="none"/>
        </w:rPr>
        <w:t>Gallery</w:t>
      </w:r>
    </w:p>
    <w:p w14:paraId="184F290F" w14:textId="77777777" w:rsidR="0069039F" w:rsidRPr="0069039F" w:rsidRDefault="0069039F" w:rsidP="0069039F">
      <w:pPr>
        <w:spacing w:line="312" w:lineRule="atLeast"/>
        <w:textAlignment w:val="baseline"/>
        <w:outlineLvl w:val="1"/>
        <w:rPr>
          <w:rFonts w:ascii="Montserrat" w:eastAsia="Times New Roman" w:hAnsi="Montserrat" w:cs="Times New Roman"/>
          <w:b/>
          <w:bCs/>
          <w:caps/>
          <w:color w:val="1C0D0A"/>
          <w:kern w:val="0"/>
          <w:sz w:val="30"/>
          <w:szCs w:val="30"/>
          <w:lang w:eastAsia="en-GB"/>
          <w14:ligatures w14:val="none"/>
        </w:rPr>
      </w:pPr>
      <w:r w:rsidRPr="0069039F">
        <w:rPr>
          <w:rFonts w:ascii="Montserrat" w:eastAsia="Times New Roman" w:hAnsi="Montserrat" w:cs="Times New Roman"/>
          <w:b/>
          <w:bCs/>
          <w:caps/>
          <w:color w:val="1C0D0A"/>
          <w:kern w:val="0"/>
          <w:sz w:val="30"/>
          <w:szCs w:val="30"/>
          <w:lang w:eastAsia="en-GB"/>
          <w14:ligatures w14:val="none"/>
        </w:rPr>
        <w:t>Contact details</w:t>
      </w:r>
    </w:p>
    <w:p w14:paraId="2FE6DAEC" w14:textId="77777777" w:rsidR="0069039F" w:rsidRPr="0069039F" w:rsidRDefault="0069039F" w:rsidP="0069039F">
      <w:pPr>
        <w:numPr>
          <w:ilvl w:val="0"/>
          <w:numId w:val="14"/>
        </w:numPr>
        <w:textAlignment w:val="baseline"/>
        <w:rPr>
          <w:rFonts w:ascii="Times New Roman" w:eastAsia="Times New Roman" w:hAnsi="Times New Roman" w:cs="Times New Roman"/>
          <w:kern w:val="0"/>
          <w:lang w:eastAsia="en-GB"/>
          <w14:ligatures w14:val="none"/>
        </w:rPr>
      </w:pPr>
      <w:r w:rsidRPr="0069039F">
        <w:rPr>
          <w:rFonts w:ascii="Times New Roman" w:eastAsia="Times New Roman" w:hAnsi="Times New Roman" w:cs="Times New Roman"/>
          <w:kern w:val="0"/>
          <w:lang w:eastAsia="en-GB"/>
          <w14:ligatures w14:val="none"/>
        </w:rPr>
        <w:t>No. B-102, 1st Floor, Brigade Majestic Complex Kalidasa Marga, 1st Main Gandhi Nagar, Bangalore, Bengaluru, Karnataka, India, 560009</w:t>
      </w:r>
    </w:p>
    <w:p w14:paraId="46696B99" w14:textId="77777777" w:rsidR="0069039F" w:rsidRPr="0069039F" w:rsidRDefault="0069039F" w:rsidP="0069039F">
      <w:pPr>
        <w:numPr>
          <w:ilvl w:val="0"/>
          <w:numId w:val="14"/>
        </w:numPr>
        <w:textAlignment w:val="baseline"/>
        <w:rPr>
          <w:rFonts w:ascii="Times New Roman" w:eastAsia="Times New Roman" w:hAnsi="Times New Roman" w:cs="Times New Roman"/>
          <w:kern w:val="0"/>
          <w:lang w:eastAsia="en-GB"/>
          <w14:ligatures w14:val="none"/>
        </w:rPr>
      </w:pPr>
      <w:r w:rsidRPr="0069039F">
        <w:rPr>
          <w:rFonts w:ascii="Times New Roman" w:eastAsia="Times New Roman" w:hAnsi="Times New Roman" w:cs="Times New Roman"/>
          <w:kern w:val="0"/>
          <w:lang w:eastAsia="en-GB"/>
          <w14:ligatures w14:val="none"/>
        </w:rPr>
        <w:t>+91 9342659294</w:t>
      </w:r>
    </w:p>
    <w:p w14:paraId="55519A95" w14:textId="77777777" w:rsidR="0069039F" w:rsidRPr="0069039F" w:rsidRDefault="0069039F" w:rsidP="0069039F">
      <w:pPr>
        <w:numPr>
          <w:ilvl w:val="0"/>
          <w:numId w:val="14"/>
        </w:numPr>
        <w:textAlignment w:val="baseline"/>
        <w:rPr>
          <w:rFonts w:ascii="Times New Roman" w:eastAsia="Times New Roman" w:hAnsi="Times New Roman" w:cs="Times New Roman"/>
          <w:kern w:val="0"/>
          <w:lang w:eastAsia="en-GB"/>
          <w14:ligatures w14:val="none"/>
        </w:rPr>
      </w:pPr>
      <w:r w:rsidRPr="0069039F">
        <w:rPr>
          <w:rFonts w:ascii="Times New Roman" w:eastAsia="Times New Roman" w:hAnsi="Times New Roman" w:cs="Times New Roman"/>
          <w:kern w:val="0"/>
          <w:lang w:eastAsia="en-GB"/>
          <w14:ligatures w14:val="none"/>
        </w:rPr>
        <w:t>herambaleasingltdblr@gmail.com</w:t>
      </w:r>
    </w:p>
    <w:p w14:paraId="1DADCF35" w14:textId="77777777" w:rsidR="002F063C" w:rsidRDefault="002F063C"/>
    <w:sectPr w:rsidR="002F06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7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default"/>
    <w:sig w:usb0="00000000" w:usb1="0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Poppins">
    <w:panose1 w:val="00000500000000000000"/>
    <w:charset w:val="4D"/>
    <w:family w:val="auto"/>
    <w:pitch w:val="variable"/>
    <w:sig w:usb0="00008007" w:usb1="00000000" w:usb2="00000000" w:usb3="00000000" w:csb0="00000093" w:csb1="00000000"/>
  </w:font>
  <w:font w:name="Montserrat">
    <w:panose1 w:val="00000500000000000000"/>
    <w:charset w:val="4D"/>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503B2"/>
    <w:multiLevelType w:val="multilevel"/>
    <w:tmpl w:val="0038B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A35143"/>
    <w:multiLevelType w:val="multilevel"/>
    <w:tmpl w:val="7228C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1C6FCF"/>
    <w:multiLevelType w:val="multilevel"/>
    <w:tmpl w:val="4B686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E0201E"/>
    <w:multiLevelType w:val="multilevel"/>
    <w:tmpl w:val="A2D68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BA2920"/>
    <w:multiLevelType w:val="multilevel"/>
    <w:tmpl w:val="CB507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0B7314"/>
    <w:multiLevelType w:val="multilevel"/>
    <w:tmpl w:val="1D0CD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FF4B2A"/>
    <w:multiLevelType w:val="multilevel"/>
    <w:tmpl w:val="A2042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81E1D76"/>
    <w:multiLevelType w:val="multilevel"/>
    <w:tmpl w:val="DE8AE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CB7F3A"/>
    <w:multiLevelType w:val="multilevel"/>
    <w:tmpl w:val="5F829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1413C9"/>
    <w:multiLevelType w:val="multilevel"/>
    <w:tmpl w:val="78780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3AE03CB"/>
    <w:multiLevelType w:val="multilevel"/>
    <w:tmpl w:val="7C72C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9B01F2"/>
    <w:multiLevelType w:val="multilevel"/>
    <w:tmpl w:val="8746F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DD0192E"/>
    <w:multiLevelType w:val="multilevel"/>
    <w:tmpl w:val="6AB2A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25448CB"/>
    <w:multiLevelType w:val="multilevel"/>
    <w:tmpl w:val="B2224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80200807">
    <w:abstractNumId w:val="8"/>
  </w:num>
  <w:num w:numId="2" w16cid:durableId="753861519">
    <w:abstractNumId w:val="1"/>
  </w:num>
  <w:num w:numId="3" w16cid:durableId="416024179">
    <w:abstractNumId w:val="9"/>
  </w:num>
  <w:num w:numId="4" w16cid:durableId="1609699281">
    <w:abstractNumId w:val="3"/>
  </w:num>
  <w:num w:numId="5" w16cid:durableId="210265490">
    <w:abstractNumId w:val="13"/>
  </w:num>
  <w:num w:numId="6" w16cid:durableId="636029365">
    <w:abstractNumId w:val="11"/>
  </w:num>
  <w:num w:numId="7" w16cid:durableId="574314903">
    <w:abstractNumId w:val="2"/>
  </w:num>
  <w:num w:numId="8" w16cid:durableId="2068450844">
    <w:abstractNumId w:val="7"/>
  </w:num>
  <w:num w:numId="9" w16cid:durableId="101389474">
    <w:abstractNumId w:val="12"/>
  </w:num>
  <w:num w:numId="10" w16cid:durableId="283469446">
    <w:abstractNumId w:val="6"/>
  </w:num>
  <w:num w:numId="11" w16cid:durableId="1524322783">
    <w:abstractNumId w:val="0"/>
  </w:num>
  <w:num w:numId="12" w16cid:durableId="2024091142">
    <w:abstractNumId w:val="4"/>
  </w:num>
  <w:num w:numId="13" w16cid:durableId="159851679">
    <w:abstractNumId w:val="10"/>
  </w:num>
  <w:num w:numId="14" w16cid:durableId="13952737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39F"/>
    <w:rsid w:val="002F063C"/>
    <w:rsid w:val="003E2C5F"/>
    <w:rsid w:val="00640239"/>
    <w:rsid w:val="0069039F"/>
    <w:rsid w:val="00AE23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A256EB6"/>
  <w15:chartTrackingRefBased/>
  <w15:docId w15:val="{2A0CA225-C68D-E04A-8CD2-E66D8D787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03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903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03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03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03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039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039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039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039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3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903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03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03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03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03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03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03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039F"/>
    <w:rPr>
      <w:rFonts w:eastAsiaTheme="majorEastAsia" w:cstheme="majorBidi"/>
      <w:color w:val="272727" w:themeColor="text1" w:themeTint="D8"/>
    </w:rPr>
  </w:style>
  <w:style w:type="paragraph" w:styleId="Title">
    <w:name w:val="Title"/>
    <w:basedOn w:val="Normal"/>
    <w:next w:val="Normal"/>
    <w:link w:val="TitleChar"/>
    <w:uiPriority w:val="10"/>
    <w:qFormat/>
    <w:rsid w:val="0069039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03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039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03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039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9039F"/>
    <w:rPr>
      <w:i/>
      <w:iCs/>
      <w:color w:val="404040" w:themeColor="text1" w:themeTint="BF"/>
    </w:rPr>
  </w:style>
  <w:style w:type="paragraph" w:styleId="ListParagraph">
    <w:name w:val="List Paragraph"/>
    <w:basedOn w:val="Normal"/>
    <w:uiPriority w:val="34"/>
    <w:qFormat/>
    <w:rsid w:val="0069039F"/>
    <w:pPr>
      <w:ind w:left="720"/>
      <w:contextualSpacing/>
    </w:pPr>
  </w:style>
  <w:style w:type="character" w:styleId="IntenseEmphasis">
    <w:name w:val="Intense Emphasis"/>
    <w:basedOn w:val="DefaultParagraphFont"/>
    <w:uiPriority w:val="21"/>
    <w:qFormat/>
    <w:rsid w:val="0069039F"/>
    <w:rPr>
      <w:i/>
      <w:iCs/>
      <w:color w:val="0F4761" w:themeColor="accent1" w:themeShade="BF"/>
    </w:rPr>
  </w:style>
  <w:style w:type="paragraph" w:styleId="IntenseQuote">
    <w:name w:val="Intense Quote"/>
    <w:basedOn w:val="Normal"/>
    <w:next w:val="Normal"/>
    <w:link w:val="IntenseQuoteChar"/>
    <w:uiPriority w:val="30"/>
    <w:qFormat/>
    <w:rsid w:val="006903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039F"/>
    <w:rPr>
      <w:i/>
      <w:iCs/>
      <w:color w:val="0F4761" w:themeColor="accent1" w:themeShade="BF"/>
    </w:rPr>
  </w:style>
  <w:style w:type="character" w:styleId="IntenseReference">
    <w:name w:val="Intense Reference"/>
    <w:basedOn w:val="DefaultParagraphFont"/>
    <w:uiPriority w:val="32"/>
    <w:qFormat/>
    <w:rsid w:val="0069039F"/>
    <w:rPr>
      <w:b/>
      <w:bCs/>
      <w:smallCaps/>
      <w:color w:val="0F4761" w:themeColor="accent1" w:themeShade="BF"/>
      <w:spacing w:val="5"/>
    </w:rPr>
  </w:style>
  <w:style w:type="paragraph" w:customStyle="1" w:styleId="menu-item">
    <w:name w:val="menu-item"/>
    <w:basedOn w:val="Normal"/>
    <w:rsid w:val="0069039F"/>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semiHidden/>
    <w:unhideWhenUsed/>
    <w:rsid w:val="0069039F"/>
    <w:rPr>
      <w:color w:val="0000FF"/>
      <w:u w:val="single"/>
    </w:rPr>
  </w:style>
  <w:style w:type="paragraph" w:styleId="NormalWeb">
    <w:name w:val="Normal (Web)"/>
    <w:basedOn w:val="Normal"/>
    <w:uiPriority w:val="99"/>
    <w:semiHidden/>
    <w:unhideWhenUsed/>
    <w:rsid w:val="0069039F"/>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textrun">
    <w:name w:val="textrun"/>
    <w:basedOn w:val="DefaultParagraphFont"/>
    <w:rsid w:val="0069039F"/>
  </w:style>
  <w:style w:type="character" w:customStyle="1" w:styleId="normaltextrun">
    <w:name w:val="normaltextrun"/>
    <w:basedOn w:val="DefaultParagraphFont"/>
    <w:rsid w:val="0069039F"/>
  </w:style>
  <w:style w:type="character" w:customStyle="1" w:styleId="eop">
    <w:name w:val="eop"/>
    <w:basedOn w:val="DefaultParagraphFont"/>
    <w:rsid w:val="0069039F"/>
  </w:style>
  <w:style w:type="character" w:customStyle="1" w:styleId="elementor-screen-only">
    <w:name w:val="elementor-screen-only"/>
    <w:basedOn w:val="DefaultParagraphFont"/>
    <w:rsid w:val="0069039F"/>
  </w:style>
  <w:style w:type="paragraph" w:customStyle="1" w:styleId="elementor-icon-list-item">
    <w:name w:val="elementor-icon-list-item"/>
    <w:basedOn w:val="Normal"/>
    <w:rsid w:val="0069039F"/>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elementor-icon-list-text">
    <w:name w:val="elementor-icon-list-text"/>
    <w:basedOn w:val="DefaultParagraphFont"/>
    <w:rsid w:val="006903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rambhaleasing.com/disclosures-as-required-by-rbi/" TargetMode="External"/><Relationship Id="rId13" Type="http://schemas.openxmlformats.org/officeDocument/2006/relationships/hyperlink" Target="https://herambhaleasing.com/wp-content/uploads/2025/11/FAIR-PRACTICES-CODE.pdf" TargetMode="External"/><Relationship Id="rId3" Type="http://schemas.openxmlformats.org/officeDocument/2006/relationships/settings" Target="settings.xml"/><Relationship Id="rId7" Type="http://schemas.openxmlformats.org/officeDocument/2006/relationships/hyperlink" Target="https://herambhaleasing.com/disclosures-as-required-by-rbi/" TargetMode="External"/><Relationship Id="rId12" Type="http://schemas.openxmlformats.org/officeDocument/2006/relationships/hyperlink" Target="https://herambhaleasing.com/disclosures-as-required-by-rb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herambhaleasing.com/" TargetMode="External"/><Relationship Id="rId11" Type="http://schemas.openxmlformats.org/officeDocument/2006/relationships/hyperlink" Target="https://herambhaleasing.com/"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herambhaleasing.com/contact/" TargetMode="External"/><Relationship Id="rId4" Type="http://schemas.openxmlformats.org/officeDocument/2006/relationships/webSettings" Target="webSettings.xml"/><Relationship Id="rId9" Type="http://schemas.openxmlformats.org/officeDocument/2006/relationships/hyperlink" Target="https://herambhaleasing.com/disclosures-as-required-by-rbi/" TargetMode="External"/><Relationship Id="rId14" Type="http://schemas.openxmlformats.org/officeDocument/2006/relationships/hyperlink" Target="https://herambhaleasing.com/cont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775</Words>
  <Characters>4192</Characters>
  <Application>Microsoft Office Word</Application>
  <DocSecurity>0</DocSecurity>
  <Lines>114</Lines>
  <Paragraphs>60</Paragraphs>
  <ScaleCrop>false</ScaleCrop>
  <Company/>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Akhil Sharma</dc:creator>
  <cp:keywords/>
  <dc:description/>
  <cp:lastModifiedBy>Akhil Sharma</cp:lastModifiedBy>
  <cp:revision>1</cp:revision>
  <dcterms:created xsi:type="dcterms:W3CDTF">2026-03-20T13:56:00Z</dcterms:created>
  <dcterms:modified xsi:type="dcterms:W3CDTF">2026-03-20T13:57:00Z</dcterms:modified>
</cp:coreProperties>
</file>